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190A98" w14:textId="7E60DA38" w:rsidR="000D02FD" w:rsidRPr="008D5DAD" w:rsidRDefault="000D02FD" w:rsidP="000D02FD">
      <w:pPr>
        <w:pStyle w:val="CRCoverPage"/>
        <w:tabs>
          <w:tab w:val="right" w:pos="9639"/>
        </w:tabs>
        <w:spacing w:after="0"/>
        <w:rPr>
          <w:b/>
          <w:i/>
          <w:noProof/>
          <w:sz w:val="28"/>
        </w:rPr>
      </w:pPr>
      <w:bookmarkStart w:id="0" w:name="historyclause"/>
      <w:r w:rsidRPr="008D5DAD">
        <w:rPr>
          <w:b/>
          <w:noProof/>
          <w:sz w:val="24"/>
        </w:rPr>
        <w:t>3GPP TSG-</w:t>
      </w:r>
      <w:fldSimple w:instr=" DOCPROPERTY  TSG/WGRef  \* MERGEFORMAT ">
        <w:r w:rsidRPr="008D5DAD">
          <w:rPr>
            <w:b/>
            <w:noProof/>
            <w:sz w:val="24"/>
          </w:rPr>
          <w:t>RAN4</w:t>
        </w:r>
      </w:fldSimple>
      <w:r w:rsidRPr="008D5DAD">
        <w:rPr>
          <w:b/>
          <w:noProof/>
          <w:sz w:val="24"/>
        </w:rPr>
        <w:t xml:space="preserve"> Meeting #</w:t>
      </w:r>
      <w:r>
        <w:rPr>
          <w:b/>
          <w:noProof/>
          <w:sz w:val="24"/>
        </w:rPr>
        <w:t>106</w:t>
      </w:r>
      <w:r w:rsidRPr="008D5DAD">
        <w:rPr>
          <w:b/>
          <w:i/>
          <w:noProof/>
          <w:sz w:val="28"/>
        </w:rPr>
        <w:tab/>
      </w:r>
      <w:r w:rsidRPr="008D5DAD">
        <w:rPr>
          <w:b/>
          <w:noProof/>
          <w:sz w:val="24"/>
        </w:rPr>
        <w:t>R4-2</w:t>
      </w:r>
      <w:r>
        <w:rPr>
          <w:b/>
          <w:noProof/>
          <w:sz w:val="24"/>
        </w:rPr>
        <w:t>3</w:t>
      </w:r>
      <w:r w:rsidR="00840D0A">
        <w:rPr>
          <w:b/>
          <w:noProof/>
          <w:sz w:val="24"/>
        </w:rPr>
        <w:t>00272</w:t>
      </w:r>
    </w:p>
    <w:p w14:paraId="69B84FF1" w14:textId="77777777" w:rsidR="000D02FD" w:rsidRPr="008D5DAD" w:rsidRDefault="000D02FD" w:rsidP="000D02FD">
      <w:pPr>
        <w:pStyle w:val="CRCoverPage"/>
        <w:outlineLvl w:val="0"/>
        <w:rPr>
          <w:b/>
          <w:noProof/>
          <w:sz w:val="24"/>
        </w:rPr>
      </w:pPr>
      <w:r w:rsidRPr="00EA0A70">
        <w:rPr>
          <w:b/>
          <w:noProof/>
          <w:sz w:val="24"/>
        </w:rPr>
        <w:t>Athens, Greece, February 27 – March 3, 202</w:t>
      </w:r>
      <w:r>
        <w:rPr>
          <w:b/>
          <w:noProof/>
          <w:sz w:val="24"/>
        </w:rPr>
        <w:t>3</w:t>
      </w:r>
    </w:p>
    <w:p w14:paraId="57CA4489" w14:textId="452F0F39" w:rsidR="003844E2" w:rsidRPr="008D5DAD" w:rsidRDefault="003844E2" w:rsidP="003844E2">
      <w:pPr>
        <w:tabs>
          <w:tab w:val="left" w:pos="1985"/>
        </w:tabs>
        <w:spacing w:after="120"/>
        <w:rPr>
          <w:rFonts w:ascii="Arial" w:hAnsi="Arial" w:cs="Arial"/>
          <w:b/>
          <w:sz w:val="22"/>
          <w:szCs w:val="22"/>
        </w:rPr>
      </w:pPr>
      <w:r w:rsidRPr="008D5DAD">
        <w:rPr>
          <w:rFonts w:ascii="Arial" w:hAnsi="Arial" w:cs="Arial"/>
          <w:b/>
          <w:sz w:val="22"/>
          <w:szCs w:val="22"/>
        </w:rPr>
        <w:t>Agenda item:</w:t>
      </w:r>
      <w:bookmarkStart w:id="1" w:name="Source"/>
      <w:bookmarkEnd w:id="1"/>
      <w:r w:rsidRPr="008D5DAD">
        <w:rPr>
          <w:rFonts w:ascii="Arial" w:hAnsi="Arial" w:cs="Arial"/>
          <w:b/>
          <w:sz w:val="22"/>
          <w:szCs w:val="22"/>
        </w:rPr>
        <w:tab/>
      </w:r>
      <w:r w:rsidR="000D02FD">
        <w:rPr>
          <w:rFonts w:ascii="Arial" w:hAnsi="Arial" w:cs="Arial"/>
          <w:b/>
          <w:sz w:val="22"/>
          <w:szCs w:val="22"/>
        </w:rPr>
        <w:t>9</w:t>
      </w:r>
      <w:r>
        <w:rPr>
          <w:rFonts w:ascii="Arial" w:hAnsi="Arial" w:cs="Arial"/>
          <w:b/>
          <w:sz w:val="22"/>
          <w:szCs w:val="22"/>
        </w:rPr>
        <w:t>.8.</w:t>
      </w:r>
      <w:r w:rsidR="00EA59EF">
        <w:rPr>
          <w:rFonts w:ascii="Arial" w:hAnsi="Arial" w:cs="Arial"/>
          <w:b/>
          <w:sz w:val="22"/>
          <w:szCs w:val="22"/>
        </w:rPr>
        <w:t>3</w:t>
      </w:r>
      <w:r w:rsidR="00294DDA">
        <w:rPr>
          <w:rFonts w:ascii="Arial" w:hAnsi="Arial" w:cs="Arial"/>
          <w:b/>
          <w:sz w:val="22"/>
          <w:szCs w:val="22"/>
        </w:rPr>
        <w:t>.</w:t>
      </w:r>
      <w:r w:rsidR="003242B5">
        <w:rPr>
          <w:rFonts w:ascii="Arial" w:hAnsi="Arial" w:cs="Arial"/>
          <w:b/>
          <w:sz w:val="22"/>
          <w:szCs w:val="22"/>
        </w:rPr>
        <w:t>5</w:t>
      </w:r>
    </w:p>
    <w:p w14:paraId="05B413F7" w14:textId="77777777" w:rsidR="003844E2" w:rsidRPr="008D5DAD" w:rsidRDefault="003844E2" w:rsidP="003844E2">
      <w:pPr>
        <w:tabs>
          <w:tab w:val="left" w:pos="1985"/>
        </w:tabs>
        <w:spacing w:after="120"/>
        <w:rPr>
          <w:rFonts w:ascii="Arial" w:hAnsi="Arial" w:cs="Arial"/>
          <w:sz w:val="22"/>
          <w:szCs w:val="22"/>
        </w:rPr>
      </w:pPr>
      <w:r w:rsidRPr="008D5DAD">
        <w:rPr>
          <w:rFonts w:ascii="Arial" w:hAnsi="Arial" w:cs="Arial"/>
          <w:b/>
          <w:sz w:val="22"/>
          <w:szCs w:val="22"/>
        </w:rPr>
        <w:t>Source:</w:t>
      </w:r>
      <w:r w:rsidRPr="008D5DAD">
        <w:rPr>
          <w:rFonts w:ascii="Arial" w:hAnsi="Arial" w:cs="Arial"/>
          <w:b/>
          <w:sz w:val="22"/>
          <w:szCs w:val="22"/>
        </w:rPr>
        <w:tab/>
        <w:t>Apple</w:t>
      </w:r>
    </w:p>
    <w:p w14:paraId="686E9630" w14:textId="3A06929C" w:rsidR="003844E2" w:rsidRPr="008D5DAD" w:rsidRDefault="003844E2" w:rsidP="003844E2">
      <w:pPr>
        <w:tabs>
          <w:tab w:val="left" w:pos="1985"/>
        </w:tabs>
        <w:spacing w:after="120"/>
        <w:rPr>
          <w:rFonts w:ascii="Arial" w:hAnsi="Arial" w:cs="Arial"/>
          <w:b/>
          <w:sz w:val="22"/>
          <w:szCs w:val="22"/>
        </w:rPr>
      </w:pPr>
      <w:r w:rsidRPr="008D5DAD">
        <w:rPr>
          <w:rFonts w:ascii="Arial" w:hAnsi="Arial" w:cs="Arial"/>
          <w:b/>
          <w:sz w:val="22"/>
          <w:szCs w:val="22"/>
        </w:rPr>
        <w:t xml:space="preserve">Title:   </w:t>
      </w:r>
      <w:r w:rsidRPr="008D5DAD">
        <w:rPr>
          <w:rFonts w:ascii="Arial" w:hAnsi="Arial" w:cs="Arial"/>
          <w:b/>
          <w:sz w:val="22"/>
          <w:szCs w:val="22"/>
        </w:rPr>
        <w:tab/>
      </w:r>
      <w:r w:rsidR="00167A77" w:rsidRPr="00167A77">
        <w:rPr>
          <w:rFonts w:ascii="Arial" w:hAnsi="Arial" w:cs="Arial"/>
          <w:b/>
          <w:sz w:val="22"/>
          <w:szCs w:val="22"/>
        </w:rPr>
        <w:t>TCI state switching for NR FR2 multi-Rx chain DL reception</w:t>
      </w:r>
    </w:p>
    <w:p w14:paraId="758496C3" w14:textId="1D1CED7D" w:rsidR="003844E2" w:rsidRPr="008D5DAD" w:rsidRDefault="003844E2" w:rsidP="003844E2">
      <w:pPr>
        <w:tabs>
          <w:tab w:val="left" w:pos="1985"/>
        </w:tabs>
        <w:spacing w:after="120"/>
        <w:rPr>
          <w:rFonts w:ascii="Arial" w:hAnsi="Arial" w:cs="Arial"/>
          <w:b/>
          <w:sz w:val="22"/>
          <w:szCs w:val="22"/>
        </w:rPr>
      </w:pPr>
      <w:r w:rsidRPr="008D5DAD">
        <w:rPr>
          <w:rFonts w:ascii="Arial" w:hAnsi="Arial" w:cs="Arial"/>
          <w:b/>
          <w:sz w:val="22"/>
          <w:szCs w:val="22"/>
        </w:rPr>
        <w:t>Document for:</w:t>
      </w:r>
      <w:r w:rsidRPr="008D5DAD">
        <w:rPr>
          <w:rFonts w:ascii="Arial" w:hAnsi="Arial" w:cs="Arial"/>
          <w:b/>
          <w:sz w:val="22"/>
          <w:szCs w:val="22"/>
        </w:rPr>
        <w:tab/>
      </w:r>
      <w:bookmarkStart w:id="2" w:name="DocumentFor"/>
      <w:bookmarkEnd w:id="2"/>
      <w:r w:rsidR="007F0AED">
        <w:rPr>
          <w:rFonts w:ascii="Arial" w:hAnsi="Arial" w:cs="Arial"/>
          <w:b/>
          <w:sz w:val="22"/>
          <w:szCs w:val="22"/>
        </w:rPr>
        <w:t>Discussion</w:t>
      </w:r>
    </w:p>
    <w:p w14:paraId="0207DB43" w14:textId="77777777" w:rsidR="00D46431" w:rsidRPr="0008103A" w:rsidRDefault="00D46431" w:rsidP="00D309CC">
      <w:pPr>
        <w:pStyle w:val="CH"/>
        <w:rPr>
          <w:b w:val="0"/>
        </w:rPr>
      </w:pPr>
    </w:p>
    <w:p w14:paraId="0273524A" w14:textId="1D8BC476" w:rsidR="008E7986" w:rsidRDefault="00AC0039" w:rsidP="00AC0039">
      <w:pPr>
        <w:pStyle w:val="Heading1"/>
      </w:pPr>
      <w:r>
        <w:rPr>
          <w:lang w:val="en-US"/>
        </w:rPr>
        <w:t>1</w:t>
      </w:r>
      <w:r>
        <w:tab/>
      </w:r>
      <w:r w:rsidR="008E7986" w:rsidRPr="004D3578">
        <w:t>Introduction</w:t>
      </w:r>
      <w:r w:rsidR="008E7986">
        <w:t xml:space="preserve"> </w:t>
      </w:r>
    </w:p>
    <w:p w14:paraId="48BECEBD" w14:textId="299021FD" w:rsidR="0065563F" w:rsidRDefault="00294DDA" w:rsidP="00400308">
      <w:pPr>
        <w:pStyle w:val="B1"/>
        <w:overflowPunct w:val="0"/>
        <w:autoSpaceDE w:val="0"/>
        <w:autoSpaceDN w:val="0"/>
        <w:adjustRightInd w:val="0"/>
        <w:spacing w:before="180"/>
        <w:ind w:left="0" w:firstLine="0"/>
        <w:textAlignment w:val="baseline"/>
        <w:rPr>
          <w:sz w:val="20"/>
          <w:szCs w:val="20"/>
          <w:lang w:eastAsia="ja-JP"/>
        </w:rPr>
      </w:pPr>
      <w:r>
        <w:rPr>
          <w:sz w:val="20"/>
          <w:szCs w:val="20"/>
          <w:lang w:eastAsia="ja-JP"/>
        </w:rPr>
        <w:t>At RAN4 meeting</w:t>
      </w:r>
      <w:r w:rsidR="0000193D">
        <w:rPr>
          <w:sz w:val="20"/>
          <w:szCs w:val="20"/>
          <w:lang w:eastAsia="ja-JP"/>
        </w:rPr>
        <w:t>#10</w:t>
      </w:r>
      <w:r w:rsidR="00BB372C">
        <w:rPr>
          <w:sz w:val="20"/>
          <w:szCs w:val="20"/>
          <w:lang w:eastAsia="ja-JP"/>
        </w:rPr>
        <w:t>5</w:t>
      </w:r>
      <w:r>
        <w:rPr>
          <w:sz w:val="20"/>
          <w:szCs w:val="20"/>
          <w:lang w:eastAsia="ja-JP"/>
        </w:rPr>
        <w:t xml:space="preserve">, </w:t>
      </w:r>
      <w:r w:rsidR="0000193D">
        <w:rPr>
          <w:sz w:val="20"/>
          <w:szCs w:val="20"/>
          <w:lang w:eastAsia="ja-JP"/>
        </w:rPr>
        <w:t xml:space="preserve">a </w:t>
      </w:r>
      <w:r w:rsidR="00B0107E" w:rsidRPr="00B0107E">
        <w:rPr>
          <w:sz w:val="20"/>
          <w:szCs w:val="20"/>
          <w:lang w:eastAsia="ja-JP"/>
        </w:rPr>
        <w:t xml:space="preserve">WF on TCI state switching in multi-Rx chain DL reception </w:t>
      </w:r>
      <w:r w:rsidR="0000193D">
        <w:rPr>
          <w:sz w:val="20"/>
          <w:szCs w:val="20"/>
          <w:lang w:eastAsia="ja-JP"/>
        </w:rPr>
        <w:t xml:space="preserve">was agreed </w:t>
      </w:r>
      <w:r w:rsidR="0065563F">
        <w:rPr>
          <w:sz w:val="20"/>
          <w:szCs w:val="20"/>
          <w:lang w:eastAsia="ja-JP"/>
        </w:rPr>
        <w:t>[1]</w:t>
      </w:r>
      <w:r>
        <w:rPr>
          <w:sz w:val="20"/>
          <w:szCs w:val="20"/>
          <w:lang w:eastAsia="ja-JP"/>
        </w:rPr>
        <w:t>.</w:t>
      </w:r>
      <w:r w:rsidR="00805370">
        <w:rPr>
          <w:sz w:val="20"/>
          <w:szCs w:val="20"/>
          <w:lang w:eastAsia="ja-JP"/>
        </w:rPr>
        <w:t xml:space="preserve"> </w:t>
      </w:r>
      <w:r w:rsidR="00083414">
        <w:rPr>
          <w:sz w:val="20"/>
          <w:szCs w:val="20"/>
        </w:rPr>
        <w:t xml:space="preserve">In this contribution, we </w:t>
      </w:r>
      <w:r w:rsidR="0000193D">
        <w:rPr>
          <w:sz w:val="20"/>
          <w:szCs w:val="20"/>
        </w:rPr>
        <w:t>discuss the</w:t>
      </w:r>
      <w:r w:rsidR="0065563F">
        <w:rPr>
          <w:sz w:val="20"/>
          <w:szCs w:val="20"/>
        </w:rPr>
        <w:t xml:space="preserve"> following issues:</w:t>
      </w:r>
    </w:p>
    <w:p w14:paraId="576E4D0D" w14:textId="344EE92B" w:rsidR="00361D93" w:rsidRDefault="00361D93" w:rsidP="0000193D">
      <w:pPr>
        <w:pStyle w:val="ListParagraph"/>
        <w:numPr>
          <w:ilvl w:val="0"/>
          <w:numId w:val="37"/>
        </w:numPr>
        <w:spacing w:before="100" w:beforeAutospacing="1" w:after="100" w:afterAutospacing="1"/>
        <w:rPr>
          <w:sz w:val="20"/>
          <w:szCs w:val="20"/>
        </w:rPr>
      </w:pPr>
      <w:r>
        <w:rPr>
          <w:sz w:val="20"/>
          <w:szCs w:val="20"/>
        </w:rPr>
        <w:t>General scope</w:t>
      </w:r>
    </w:p>
    <w:p w14:paraId="5FBBBA6B" w14:textId="2E6DC712" w:rsidR="0001496E" w:rsidRDefault="00C056AE" w:rsidP="0000193D">
      <w:pPr>
        <w:pStyle w:val="ListParagraph"/>
        <w:numPr>
          <w:ilvl w:val="0"/>
          <w:numId w:val="37"/>
        </w:numPr>
        <w:spacing w:before="100" w:beforeAutospacing="1" w:after="100" w:afterAutospacing="1"/>
        <w:rPr>
          <w:sz w:val="20"/>
          <w:szCs w:val="20"/>
        </w:rPr>
      </w:pPr>
      <w:r>
        <w:rPr>
          <w:sz w:val="20"/>
          <w:szCs w:val="20"/>
        </w:rPr>
        <w:t>TCI state switching independency</w:t>
      </w:r>
    </w:p>
    <w:p w14:paraId="447AD6C7" w14:textId="5E64B5D3" w:rsidR="00823989" w:rsidRPr="0000193D" w:rsidRDefault="00823989" w:rsidP="0000193D">
      <w:pPr>
        <w:pStyle w:val="ListParagraph"/>
        <w:numPr>
          <w:ilvl w:val="0"/>
          <w:numId w:val="37"/>
        </w:numPr>
        <w:spacing w:before="100" w:beforeAutospacing="1" w:after="100" w:afterAutospacing="1"/>
        <w:rPr>
          <w:sz w:val="20"/>
          <w:szCs w:val="20"/>
        </w:rPr>
      </w:pPr>
      <w:r w:rsidRPr="00823989">
        <w:rPr>
          <w:sz w:val="20"/>
          <w:szCs w:val="20"/>
        </w:rPr>
        <w:t>Known and unknown conditions</w:t>
      </w:r>
    </w:p>
    <w:p w14:paraId="7FC457EF" w14:textId="77777777" w:rsidR="00C056AE" w:rsidRDefault="00C056AE" w:rsidP="0065563F">
      <w:pPr>
        <w:pStyle w:val="ListParagraph"/>
        <w:numPr>
          <w:ilvl w:val="0"/>
          <w:numId w:val="37"/>
        </w:numPr>
        <w:spacing w:before="100" w:beforeAutospacing="1" w:after="100" w:afterAutospacing="1"/>
        <w:rPr>
          <w:sz w:val="20"/>
          <w:szCs w:val="20"/>
        </w:rPr>
      </w:pPr>
      <w:r w:rsidRPr="00C056AE">
        <w:rPr>
          <w:sz w:val="20"/>
          <w:szCs w:val="20"/>
        </w:rPr>
        <w:t>TCI state switch delay requirements</w:t>
      </w:r>
    </w:p>
    <w:p w14:paraId="17519B8E" w14:textId="138BB0AF" w:rsidR="0051004D" w:rsidRPr="00F62112" w:rsidRDefault="00C056AE" w:rsidP="0065563F">
      <w:pPr>
        <w:pStyle w:val="ListParagraph"/>
        <w:numPr>
          <w:ilvl w:val="0"/>
          <w:numId w:val="37"/>
        </w:numPr>
        <w:spacing w:before="100" w:beforeAutospacing="1" w:after="100" w:afterAutospacing="1"/>
        <w:rPr>
          <w:sz w:val="20"/>
          <w:szCs w:val="20"/>
        </w:rPr>
      </w:pPr>
      <w:r w:rsidRPr="00C056AE">
        <w:rPr>
          <w:sz w:val="20"/>
          <w:szCs w:val="20"/>
        </w:rPr>
        <w:t>UE behavior</w:t>
      </w:r>
      <w:r w:rsidR="00BE5B23">
        <w:rPr>
          <w:sz w:val="20"/>
          <w:szCs w:val="20"/>
        </w:rPr>
        <w:t xml:space="preserve"> in case the UE does not support the two configured target TCI states </w:t>
      </w:r>
    </w:p>
    <w:p w14:paraId="42E3FB41" w14:textId="2BBF79A8" w:rsidR="004C5265" w:rsidRDefault="008E7986" w:rsidP="005037D3">
      <w:pPr>
        <w:pStyle w:val="Heading1"/>
      </w:pPr>
      <w:r>
        <w:t>2</w:t>
      </w:r>
      <w:r>
        <w:tab/>
      </w:r>
      <w:r w:rsidR="0077432F">
        <w:t>Discussion</w:t>
      </w:r>
    </w:p>
    <w:p w14:paraId="7079CFA6" w14:textId="02CB82F9" w:rsidR="00361D93" w:rsidRDefault="00361D93" w:rsidP="00361D93">
      <w:pPr>
        <w:pStyle w:val="Heading2"/>
      </w:pPr>
      <w:r>
        <w:t xml:space="preserve">2.1 </w:t>
      </w:r>
      <w:r w:rsidRPr="00361D93">
        <w:t>General scope</w:t>
      </w:r>
    </w:p>
    <w:p w14:paraId="0C20166F" w14:textId="7D5D746B" w:rsidR="00361D93" w:rsidRDefault="007C7A1D" w:rsidP="00361D93">
      <w:pPr>
        <w:rPr>
          <w:color w:val="000000"/>
          <w:sz w:val="20"/>
          <w:szCs w:val="20"/>
          <w:lang w:val="en-GB"/>
        </w:rPr>
      </w:pPr>
      <w:r>
        <w:rPr>
          <w:color w:val="000000"/>
          <w:sz w:val="20"/>
          <w:szCs w:val="20"/>
          <w:lang w:val="en-GB"/>
        </w:rPr>
        <w:t>In the WF [1], it is stated:</w:t>
      </w:r>
    </w:p>
    <w:p w14:paraId="054819D2" w14:textId="6B6644A4" w:rsidR="007C7A1D" w:rsidRDefault="007C7A1D" w:rsidP="00361D93">
      <w:pPr>
        <w:rPr>
          <w:color w:val="000000"/>
          <w:sz w:val="20"/>
          <w:szCs w:val="20"/>
          <w:lang w:val="en-GB"/>
        </w:rPr>
      </w:pPr>
    </w:p>
    <w:p w14:paraId="16CA2761" w14:textId="77777777" w:rsidR="007C7A1D" w:rsidRPr="007C7A1D" w:rsidRDefault="007C7A1D" w:rsidP="007C7A1D">
      <w:pPr>
        <w:rPr>
          <w:b/>
          <w:sz w:val="20"/>
          <w:szCs w:val="20"/>
          <w:u w:val="single"/>
          <w:lang w:eastAsia="ko-KR"/>
        </w:rPr>
      </w:pPr>
      <w:r w:rsidRPr="007C7A1D">
        <w:rPr>
          <w:b/>
          <w:sz w:val="20"/>
          <w:szCs w:val="20"/>
          <w:u w:val="single"/>
          <w:lang w:eastAsia="ko-KR"/>
        </w:rPr>
        <w:t>Issue 1-1-2:</w:t>
      </w:r>
      <w:r w:rsidRPr="007C7A1D">
        <w:rPr>
          <w:b/>
          <w:sz w:val="20"/>
          <w:szCs w:val="20"/>
          <w:lang w:eastAsia="ko-KR"/>
        </w:rPr>
        <w:t xml:space="preserve"> As per RAN1 agreements, group-based reporting is supported for single DCI only. If group-based reporting is a prerequisite, this AI can focus on single DCI case only.</w:t>
      </w:r>
      <w:r w:rsidRPr="007C7A1D">
        <w:rPr>
          <w:b/>
          <w:sz w:val="20"/>
          <w:szCs w:val="20"/>
          <w:u w:val="single"/>
          <w:lang w:eastAsia="ko-KR"/>
        </w:rPr>
        <w:t xml:space="preserve"> </w:t>
      </w:r>
    </w:p>
    <w:p w14:paraId="64557D37" w14:textId="77777777" w:rsidR="007C7A1D" w:rsidRPr="007C7A1D" w:rsidRDefault="007C7A1D" w:rsidP="007C7A1D">
      <w:pPr>
        <w:pStyle w:val="ListParagraph"/>
        <w:numPr>
          <w:ilvl w:val="0"/>
          <w:numId w:val="36"/>
        </w:numPr>
        <w:spacing w:after="120"/>
        <w:ind w:left="720"/>
        <w:contextualSpacing w:val="0"/>
        <w:rPr>
          <w:rFonts w:eastAsia="SimSun"/>
          <w:sz w:val="20"/>
          <w:szCs w:val="20"/>
        </w:rPr>
      </w:pPr>
      <w:r w:rsidRPr="007C7A1D">
        <w:rPr>
          <w:rFonts w:eastAsia="SimSun"/>
          <w:sz w:val="20"/>
          <w:szCs w:val="20"/>
        </w:rPr>
        <w:t>Candidate proposals for further study</w:t>
      </w:r>
    </w:p>
    <w:p w14:paraId="3EB1A409" w14:textId="77777777" w:rsidR="007C7A1D" w:rsidRPr="007C7A1D" w:rsidRDefault="007C7A1D" w:rsidP="007C7A1D">
      <w:pPr>
        <w:pStyle w:val="ListParagraph"/>
        <w:numPr>
          <w:ilvl w:val="1"/>
          <w:numId w:val="36"/>
        </w:numPr>
        <w:spacing w:after="120"/>
        <w:ind w:left="1440"/>
        <w:contextualSpacing w:val="0"/>
        <w:rPr>
          <w:rFonts w:eastAsia="SimSun"/>
          <w:sz w:val="20"/>
          <w:szCs w:val="20"/>
        </w:rPr>
      </w:pPr>
      <w:r w:rsidRPr="007C7A1D">
        <w:rPr>
          <w:rFonts w:eastAsia="SimSun"/>
          <w:sz w:val="20"/>
          <w:szCs w:val="20"/>
        </w:rPr>
        <w:t xml:space="preserve">Companies to check this RAN1 agreement and more discussion is needed during next meeting. </w:t>
      </w:r>
    </w:p>
    <w:p w14:paraId="104969A3" w14:textId="77777777" w:rsidR="007C7A1D" w:rsidRPr="0065563F" w:rsidRDefault="007C7A1D" w:rsidP="00361D93">
      <w:pPr>
        <w:rPr>
          <w:color w:val="000000"/>
          <w:sz w:val="20"/>
          <w:szCs w:val="20"/>
          <w:lang w:val="en-GB"/>
        </w:rPr>
      </w:pPr>
    </w:p>
    <w:p w14:paraId="52B41AB0" w14:textId="726966A3" w:rsidR="00361D93" w:rsidRDefault="007C7A1D" w:rsidP="00596172">
      <w:pPr>
        <w:autoSpaceDE w:val="0"/>
        <w:autoSpaceDN w:val="0"/>
        <w:adjustRightInd w:val="0"/>
        <w:jc w:val="both"/>
        <w:rPr>
          <w:color w:val="000000"/>
          <w:sz w:val="20"/>
          <w:szCs w:val="20"/>
        </w:rPr>
      </w:pPr>
      <w:r>
        <w:rPr>
          <w:color w:val="000000"/>
          <w:sz w:val="20"/>
          <w:szCs w:val="20"/>
        </w:rPr>
        <w:t xml:space="preserve">We are not aware of the RAN1 agreement that </w:t>
      </w:r>
      <w:r w:rsidRPr="007C7A1D">
        <w:rPr>
          <w:color w:val="000000"/>
          <w:sz w:val="20"/>
          <w:szCs w:val="20"/>
        </w:rPr>
        <w:t>group-based reporting is supported for single DCI only</w:t>
      </w:r>
      <w:r>
        <w:rPr>
          <w:color w:val="000000"/>
          <w:sz w:val="20"/>
          <w:szCs w:val="20"/>
        </w:rPr>
        <w:t>. In our understanding, both sDCI and mDCI rely on group-based reporting to configure a UE with two TCI states for simultaneous DL reception. If this RAN1 agreement is not clearly reflected in the RAN1 specification, it is proposed to send an LS to RAN1 for confirmation, instead of continuing the discussion in RAN4.</w:t>
      </w:r>
    </w:p>
    <w:p w14:paraId="509380F6" w14:textId="45C7400C" w:rsidR="00596172" w:rsidRDefault="00596172" w:rsidP="00596172">
      <w:pPr>
        <w:autoSpaceDE w:val="0"/>
        <w:autoSpaceDN w:val="0"/>
        <w:adjustRightInd w:val="0"/>
        <w:jc w:val="both"/>
        <w:rPr>
          <w:color w:val="000000"/>
          <w:sz w:val="20"/>
          <w:szCs w:val="20"/>
        </w:rPr>
      </w:pPr>
    </w:p>
    <w:p w14:paraId="3967A4C7" w14:textId="052D266E" w:rsidR="00884853" w:rsidRDefault="00596172" w:rsidP="00703E3B">
      <w:pPr>
        <w:spacing w:before="100" w:beforeAutospacing="1" w:after="100"/>
        <w:rPr>
          <w:b/>
          <w:bCs/>
          <w:i/>
          <w:iCs/>
          <w:sz w:val="20"/>
          <w:szCs w:val="20"/>
        </w:rPr>
      </w:pPr>
      <w:r>
        <w:rPr>
          <w:b/>
          <w:bCs/>
          <w:i/>
          <w:iCs/>
          <w:sz w:val="20"/>
          <w:szCs w:val="20"/>
        </w:rPr>
        <w:t xml:space="preserve">Proposal </w:t>
      </w:r>
      <w:r w:rsidRPr="004E0E90">
        <w:rPr>
          <w:b/>
          <w:bCs/>
          <w:i/>
          <w:iCs/>
          <w:sz w:val="20"/>
          <w:szCs w:val="20"/>
        </w:rPr>
        <w:t xml:space="preserve">1: </w:t>
      </w:r>
      <w:r>
        <w:rPr>
          <w:b/>
          <w:bCs/>
          <w:i/>
          <w:iCs/>
          <w:sz w:val="20"/>
          <w:szCs w:val="20"/>
        </w:rPr>
        <w:t>RAN4 can seek RAN1 confirmation of the agreement by sending an LS.</w:t>
      </w:r>
    </w:p>
    <w:p w14:paraId="3027FC2A" w14:textId="77777777" w:rsidR="0045245B" w:rsidRPr="0045245B" w:rsidRDefault="0045245B" w:rsidP="00703E3B">
      <w:pPr>
        <w:spacing w:before="100" w:beforeAutospacing="1" w:after="100"/>
        <w:rPr>
          <w:b/>
          <w:bCs/>
          <w:i/>
          <w:iCs/>
          <w:sz w:val="20"/>
          <w:szCs w:val="20"/>
        </w:rPr>
      </w:pPr>
    </w:p>
    <w:p w14:paraId="3FA6374F" w14:textId="77777777" w:rsidR="00884853" w:rsidRPr="00884853" w:rsidRDefault="00884853" w:rsidP="00884853">
      <w:pPr>
        <w:rPr>
          <w:b/>
          <w:sz w:val="20"/>
          <w:szCs w:val="20"/>
          <w:u w:val="single"/>
          <w:lang w:eastAsia="ko-KR"/>
        </w:rPr>
      </w:pPr>
      <w:r w:rsidRPr="00884853">
        <w:rPr>
          <w:b/>
          <w:sz w:val="20"/>
          <w:szCs w:val="20"/>
          <w:u w:val="single"/>
          <w:lang w:eastAsia="ko-KR"/>
        </w:rPr>
        <w:t xml:space="preserve">Issue 1-1-3: Definition of Dual TCI state switch </w:t>
      </w:r>
    </w:p>
    <w:p w14:paraId="66A4B2BB" w14:textId="77777777" w:rsidR="00884853" w:rsidRPr="00884853" w:rsidRDefault="00884853" w:rsidP="00884853">
      <w:pPr>
        <w:pStyle w:val="ListParagraph"/>
        <w:numPr>
          <w:ilvl w:val="1"/>
          <w:numId w:val="36"/>
        </w:numPr>
        <w:spacing w:after="120"/>
        <w:ind w:left="1440"/>
        <w:contextualSpacing w:val="0"/>
        <w:rPr>
          <w:rFonts w:eastAsia="SimSun"/>
          <w:sz w:val="20"/>
          <w:szCs w:val="20"/>
        </w:rPr>
      </w:pPr>
      <w:r w:rsidRPr="00884853">
        <w:rPr>
          <w:rFonts w:eastAsia="SimSun"/>
          <w:sz w:val="20"/>
          <w:szCs w:val="20"/>
        </w:rPr>
        <w:t xml:space="preserve">Dual TCI state switching refers to the case when two active TCI states with QCL type D for simultaneous reception of PDCCH/PDSCH are involved before and/or after TCI switching command. </w:t>
      </w:r>
    </w:p>
    <w:p w14:paraId="57699263" w14:textId="77777777" w:rsidR="00884853" w:rsidRPr="00884853" w:rsidRDefault="00884853" w:rsidP="00884853">
      <w:pPr>
        <w:pStyle w:val="ListParagraph"/>
        <w:numPr>
          <w:ilvl w:val="1"/>
          <w:numId w:val="36"/>
        </w:numPr>
        <w:spacing w:after="120"/>
        <w:ind w:left="1440"/>
        <w:contextualSpacing w:val="0"/>
        <w:rPr>
          <w:rFonts w:eastAsia="SimSun"/>
          <w:sz w:val="20"/>
          <w:szCs w:val="20"/>
        </w:rPr>
      </w:pPr>
      <w:r w:rsidRPr="00884853">
        <w:rPr>
          <w:rFonts w:eastAsia="SimSun"/>
          <w:sz w:val="20"/>
          <w:szCs w:val="20"/>
        </w:rPr>
        <w:t xml:space="preserve">In other words, following are considered as dual TCI state switching to discuss the requirements </w:t>
      </w:r>
    </w:p>
    <w:p w14:paraId="0821D3BC" w14:textId="77777777" w:rsidR="00884853" w:rsidRPr="00884853" w:rsidRDefault="00884853" w:rsidP="00884853">
      <w:pPr>
        <w:pStyle w:val="ListParagraph"/>
        <w:numPr>
          <w:ilvl w:val="2"/>
          <w:numId w:val="36"/>
        </w:numPr>
        <w:spacing w:after="120"/>
        <w:contextualSpacing w:val="0"/>
        <w:rPr>
          <w:rFonts w:eastAsia="SimSun"/>
          <w:sz w:val="20"/>
          <w:szCs w:val="20"/>
        </w:rPr>
      </w:pPr>
      <w:r w:rsidRPr="00884853">
        <w:rPr>
          <w:rFonts w:eastAsia="SimSun"/>
          <w:sz w:val="20"/>
          <w:szCs w:val="20"/>
        </w:rPr>
        <w:t>Single DCI to Dual TCI</w:t>
      </w:r>
    </w:p>
    <w:p w14:paraId="14C478C4" w14:textId="77777777" w:rsidR="00884853" w:rsidRPr="00884853" w:rsidRDefault="00884853" w:rsidP="00884853">
      <w:pPr>
        <w:pStyle w:val="ListParagraph"/>
        <w:numPr>
          <w:ilvl w:val="2"/>
          <w:numId w:val="36"/>
        </w:numPr>
        <w:spacing w:after="120"/>
        <w:contextualSpacing w:val="0"/>
        <w:rPr>
          <w:rFonts w:eastAsia="SimSun"/>
          <w:sz w:val="20"/>
          <w:szCs w:val="20"/>
        </w:rPr>
      </w:pPr>
      <w:r w:rsidRPr="00884853">
        <w:rPr>
          <w:rFonts w:eastAsia="SimSun"/>
          <w:sz w:val="20"/>
          <w:szCs w:val="20"/>
        </w:rPr>
        <w:t xml:space="preserve">Dual TCI to Dual TCI </w:t>
      </w:r>
    </w:p>
    <w:p w14:paraId="5059A3C9" w14:textId="77777777" w:rsidR="00884853" w:rsidRPr="00884853" w:rsidRDefault="00884853" w:rsidP="00884853">
      <w:pPr>
        <w:pStyle w:val="ListParagraph"/>
        <w:numPr>
          <w:ilvl w:val="2"/>
          <w:numId w:val="36"/>
        </w:numPr>
        <w:spacing w:after="120"/>
        <w:contextualSpacing w:val="0"/>
        <w:rPr>
          <w:rFonts w:eastAsia="SimSun"/>
          <w:sz w:val="20"/>
          <w:szCs w:val="20"/>
        </w:rPr>
      </w:pPr>
      <w:r w:rsidRPr="00884853">
        <w:rPr>
          <w:rFonts w:eastAsia="SimSun"/>
          <w:sz w:val="20"/>
          <w:szCs w:val="20"/>
        </w:rPr>
        <w:t>FFS: Dual TCI to Single TCI</w:t>
      </w:r>
    </w:p>
    <w:p w14:paraId="2384FB37" w14:textId="5700D209" w:rsidR="00884853" w:rsidRDefault="00884853" w:rsidP="00703E3B">
      <w:pPr>
        <w:spacing w:before="100" w:beforeAutospacing="1" w:after="100"/>
        <w:rPr>
          <w:sz w:val="20"/>
          <w:szCs w:val="20"/>
        </w:rPr>
      </w:pPr>
      <w:r>
        <w:rPr>
          <w:sz w:val="20"/>
          <w:szCs w:val="20"/>
        </w:rPr>
        <w:t>Regarding “</w:t>
      </w:r>
      <w:r w:rsidRPr="00884853">
        <w:rPr>
          <w:sz w:val="20"/>
          <w:szCs w:val="20"/>
        </w:rPr>
        <w:t>FFS: Dual TCI to Single TCI</w:t>
      </w:r>
      <w:r>
        <w:rPr>
          <w:sz w:val="20"/>
          <w:szCs w:val="20"/>
        </w:rPr>
        <w:t>,” we think it depends on the state of the target single TCI. If it is one of the two TCIs before TCI switching command, there is no need to consider this case. However, if the single state is a new state, i.e., not either of the two TCIs before switching, it is a valid case to be considered.</w:t>
      </w:r>
    </w:p>
    <w:p w14:paraId="3FB99F1B" w14:textId="676AD161" w:rsidR="00884853" w:rsidRPr="0045245B" w:rsidRDefault="00884853" w:rsidP="00703E3B">
      <w:pPr>
        <w:spacing w:before="100" w:beforeAutospacing="1" w:after="100"/>
        <w:rPr>
          <w:b/>
          <w:bCs/>
          <w:i/>
          <w:iCs/>
          <w:sz w:val="20"/>
          <w:szCs w:val="20"/>
        </w:rPr>
      </w:pPr>
      <w:r>
        <w:rPr>
          <w:b/>
          <w:bCs/>
          <w:i/>
          <w:iCs/>
          <w:sz w:val="20"/>
          <w:szCs w:val="20"/>
        </w:rPr>
        <w:lastRenderedPageBreak/>
        <w:t>Proposal 2</w:t>
      </w:r>
      <w:r w:rsidRPr="004E0E90">
        <w:rPr>
          <w:b/>
          <w:bCs/>
          <w:i/>
          <w:iCs/>
          <w:sz w:val="20"/>
          <w:szCs w:val="20"/>
        </w:rPr>
        <w:t xml:space="preserve">: </w:t>
      </w:r>
      <w:r>
        <w:rPr>
          <w:b/>
          <w:bCs/>
          <w:i/>
          <w:iCs/>
          <w:sz w:val="20"/>
          <w:szCs w:val="20"/>
        </w:rPr>
        <w:t>The case “</w:t>
      </w:r>
      <w:r w:rsidRPr="00884853">
        <w:rPr>
          <w:b/>
          <w:bCs/>
          <w:i/>
          <w:iCs/>
          <w:sz w:val="20"/>
          <w:szCs w:val="20"/>
        </w:rPr>
        <w:t>Dual TCI to Single TCI</w:t>
      </w:r>
      <w:r>
        <w:rPr>
          <w:b/>
          <w:bCs/>
          <w:i/>
          <w:iCs/>
          <w:sz w:val="20"/>
          <w:szCs w:val="20"/>
        </w:rPr>
        <w:t xml:space="preserve">” needs to be considered if the target single TCI is a new state, i.e., </w:t>
      </w:r>
      <w:r w:rsidRPr="00884853">
        <w:rPr>
          <w:b/>
          <w:bCs/>
          <w:i/>
          <w:iCs/>
          <w:sz w:val="20"/>
          <w:szCs w:val="20"/>
        </w:rPr>
        <w:t>not either of the two TCIs before switching</w:t>
      </w:r>
      <w:r>
        <w:rPr>
          <w:b/>
          <w:bCs/>
          <w:i/>
          <w:iCs/>
          <w:sz w:val="20"/>
          <w:szCs w:val="20"/>
        </w:rPr>
        <w:t>.</w:t>
      </w:r>
    </w:p>
    <w:p w14:paraId="7B9A3FC2" w14:textId="01989658" w:rsidR="009F2B49" w:rsidRDefault="009F2B49" w:rsidP="009F2B49">
      <w:pPr>
        <w:pStyle w:val="Heading2"/>
      </w:pPr>
      <w:r>
        <w:t>2.</w:t>
      </w:r>
      <w:r w:rsidR="00703E3B">
        <w:t>2</w:t>
      </w:r>
      <w:r>
        <w:t xml:space="preserve"> </w:t>
      </w:r>
      <w:r w:rsidR="00C056AE" w:rsidRPr="00C056AE">
        <w:t>TCI state switching independency</w:t>
      </w:r>
    </w:p>
    <w:p w14:paraId="2DF75956" w14:textId="497FB7EB" w:rsidR="0065563F" w:rsidRPr="0065563F" w:rsidRDefault="00C056AE" w:rsidP="00406636">
      <w:pPr>
        <w:rPr>
          <w:color w:val="000000"/>
          <w:sz w:val="20"/>
          <w:szCs w:val="20"/>
          <w:lang w:val="en-GB"/>
        </w:rPr>
      </w:pPr>
      <w:r>
        <w:rPr>
          <w:color w:val="000000"/>
          <w:sz w:val="20"/>
          <w:szCs w:val="20"/>
          <w:lang w:val="en-GB"/>
        </w:rPr>
        <w:t>There is the following agreement in the WF</w:t>
      </w:r>
      <w:r w:rsidR="00EB233F">
        <w:rPr>
          <w:color w:val="000000"/>
          <w:sz w:val="20"/>
          <w:szCs w:val="20"/>
          <w:lang w:val="en-GB"/>
        </w:rPr>
        <w:t xml:space="preserve"> [</w:t>
      </w:r>
      <w:r w:rsidR="00D67845">
        <w:rPr>
          <w:color w:val="000000"/>
          <w:sz w:val="20"/>
          <w:szCs w:val="20"/>
          <w:lang w:val="en-GB"/>
        </w:rPr>
        <w:t>2</w:t>
      </w:r>
      <w:r w:rsidR="00EB233F">
        <w:rPr>
          <w:color w:val="000000"/>
          <w:sz w:val="20"/>
          <w:szCs w:val="20"/>
          <w:lang w:val="en-GB"/>
        </w:rPr>
        <w:t>]</w:t>
      </w:r>
      <w:r w:rsidR="00D67845">
        <w:rPr>
          <w:color w:val="000000"/>
          <w:sz w:val="20"/>
          <w:szCs w:val="20"/>
          <w:lang w:val="en-GB"/>
        </w:rPr>
        <w:t xml:space="preserve"> at RAN4#104b</w:t>
      </w:r>
      <w:r w:rsidR="00EB233F">
        <w:rPr>
          <w:color w:val="000000"/>
          <w:sz w:val="20"/>
          <w:szCs w:val="20"/>
          <w:lang w:val="en-GB"/>
        </w:rPr>
        <w:t>.</w:t>
      </w:r>
    </w:p>
    <w:p w14:paraId="761129B3" w14:textId="66F08757" w:rsidR="00092DEA" w:rsidRDefault="00092DEA" w:rsidP="00A41D34">
      <w:pPr>
        <w:autoSpaceDE w:val="0"/>
        <w:autoSpaceDN w:val="0"/>
        <w:adjustRightInd w:val="0"/>
        <w:jc w:val="both"/>
        <w:rPr>
          <w:color w:val="000000"/>
          <w:sz w:val="20"/>
          <w:szCs w:val="20"/>
        </w:rPr>
      </w:pPr>
    </w:p>
    <w:p w14:paraId="538A2166" w14:textId="77777777" w:rsidR="00C056AE" w:rsidRPr="00C056AE" w:rsidRDefault="00C056AE" w:rsidP="00C056AE">
      <w:pPr>
        <w:rPr>
          <w:i/>
          <w:iCs/>
          <w:sz w:val="20"/>
          <w:szCs w:val="20"/>
        </w:rPr>
      </w:pPr>
      <w:r w:rsidRPr="00C056AE">
        <w:rPr>
          <w:i/>
          <w:iCs/>
          <w:sz w:val="20"/>
          <w:szCs w:val="20"/>
        </w:rPr>
        <w:t>Issue 1-2-1-2:  Can the TCI switch is assumed to be independent on each RX chain?</w:t>
      </w:r>
    </w:p>
    <w:p w14:paraId="753020DD" w14:textId="77777777" w:rsidR="00C056AE" w:rsidRPr="00C056AE" w:rsidRDefault="00C056AE" w:rsidP="00C056AE">
      <w:pPr>
        <w:rPr>
          <w:i/>
          <w:iCs/>
          <w:sz w:val="20"/>
          <w:szCs w:val="20"/>
        </w:rPr>
      </w:pPr>
      <w:r w:rsidRPr="00C056AE">
        <w:rPr>
          <w:i/>
          <w:iCs/>
          <w:sz w:val="20"/>
          <w:szCs w:val="20"/>
        </w:rPr>
        <w:t>A</w:t>
      </w:r>
      <w:r w:rsidRPr="00C056AE">
        <w:rPr>
          <w:rFonts w:hint="eastAsia"/>
          <w:i/>
          <w:iCs/>
          <w:sz w:val="20"/>
          <w:szCs w:val="20"/>
        </w:rPr>
        <w:t>greements:</w:t>
      </w:r>
      <w:r w:rsidRPr="00C056AE">
        <w:rPr>
          <w:i/>
          <w:iCs/>
          <w:sz w:val="20"/>
          <w:szCs w:val="20"/>
        </w:rPr>
        <w:t xml:space="preserve"> </w:t>
      </w:r>
    </w:p>
    <w:p w14:paraId="5269C42E" w14:textId="77777777" w:rsidR="00C056AE" w:rsidRPr="00C056AE" w:rsidRDefault="00C056AE" w:rsidP="00C056AE">
      <w:pPr>
        <w:pStyle w:val="ListParagraph"/>
        <w:numPr>
          <w:ilvl w:val="0"/>
          <w:numId w:val="45"/>
        </w:numPr>
        <w:overflowPunct w:val="0"/>
        <w:autoSpaceDE w:val="0"/>
        <w:autoSpaceDN w:val="0"/>
        <w:adjustRightInd w:val="0"/>
        <w:spacing w:after="180" w:line="259" w:lineRule="auto"/>
        <w:contextualSpacing w:val="0"/>
        <w:textAlignment w:val="baseline"/>
        <w:rPr>
          <w:i/>
          <w:iCs/>
          <w:sz w:val="20"/>
          <w:szCs w:val="20"/>
        </w:rPr>
      </w:pPr>
      <w:r w:rsidRPr="00C056AE">
        <w:rPr>
          <w:i/>
          <w:iCs/>
          <w:sz w:val="20"/>
          <w:szCs w:val="20"/>
        </w:rPr>
        <w:t>For each of the two TCI states, the TCI state switch is assumed to be independent</w:t>
      </w:r>
    </w:p>
    <w:p w14:paraId="3E980954" w14:textId="77777777" w:rsidR="00C056AE" w:rsidRPr="00C056AE" w:rsidRDefault="00C056AE" w:rsidP="00C056AE">
      <w:pPr>
        <w:numPr>
          <w:ilvl w:val="1"/>
          <w:numId w:val="45"/>
        </w:numPr>
        <w:spacing w:after="180"/>
        <w:rPr>
          <w:i/>
          <w:iCs/>
          <w:sz w:val="20"/>
          <w:szCs w:val="20"/>
        </w:rPr>
      </w:pPr>
      <w:r w:rsidRPr="00C056AE">
        <w:rPr>
          <w:i/>
          <w:iCs/>
          <w:sz w:val="20"/>
          <w:szCs w:val="20"/>
        </w:rPr>
        <w:t>FFS on the definition/scope of “independency.”</w:t>
      </w:r>
    </w:p>
    <w:p w14:paraId="0C18061F" w14:textId="3AF71AB9" w:rsidR="00C056AE" w:rsidRDefault="002E1F9D" w:rsidP="00A41D34">
      <w:pPr>
        <w:autoSpaceDE w:val="0"/>
        <w:autoSpaceDN w:val="0"/>
        <w:adjustRightInd w:val="0"/>
        <w:jc w:val="both"/>
        <w:rPr>
          <w:color w:val="000000"/>
          <w:sz w:val="20"/>
          <w:szCs w:val="20"/>
        </w:rPr>
      </w:pPr>
      <w:r>
        <w:rPr>
          <w:color w:val="000000"/>
          <w:sz w:val="20"/>
          <w:szCs w:val="20"/>
        </w:rPr>
        <w:t xml:space="preserve">In general, </w:t>
      </w:r>
      <w:r w:rsidR="00350433">
        <w:rPr>
          <w:color w:val="000000"/>
          <w:sz w:val="20"/>
          <w:szCs w:val="20"/>
        </w:rPr>
        <w:t xml:space="preserve">it is expected </w:t>
      </w:r>
      <w:r>
        <w:rPr>
          <w:color w:val="000000"/>
          <w:sz w:val="20"/>
          <w:szCs w:val="20"/>
        </w:rPr>
        <w:t xml:space="preserve">out of the two </w:t>
      </w:r>
      <w:r w:rsidR="00350433">
        <w:rPr>
          <w:color w:val="000000"/>
          <w:sz w:val="20"/>
          <w:szCs w:val="20"/>
        </w:rPr>
        <w:t xml:space="preserve">current </w:t>
      </w:r>
      <w:r>
        <w:rPr>
          <w:color w:val="000000"/>
          <w:sz w:val="20"/>
          <w:szCs w:val="20"/>
        </w:rPr>
        <w:t xml:space="preserve">TCI states, when one TCI state is switched, it should be independent from the other TCI state. In other words, one TCI state switch should not affect the operation of the other TCI state. However, </w:t>
      </w:r>
      <w:r w:rsidR="00350433">
        <w:rPr>
          <w:color w:val="000000"/>
          <w:sz w:val="20"/>
          <w:szCs w:val="20"/>
        </w:rPr>
        <w:t>there may be the following constraints:</w:t>
      </w:r>
      <w:r>
        <w:rPr>
          <w:color w:val="000000"/>
          <w:sz w:val="20"/>
          <w:szCs w:val="20"/>
        </w:rPr>
        <w:t xml:space="preserve"> </w:t>
      </w:r>
    </w:p>
    <w:p w14:paraId="40D629E9" w14:textId="20724A35" w:rsidR="002E1F9D" w:rsidRDefault="002E1F9D" w:rsidP="00A41D34">
      <w:pPr>
        <w:pStyle w:val="ListParagraph"/>
        <w:numPr>
          <w:ilvl w:val="0"/>
          <w:numId w:val="46"/>
        </w:numPr>
        <w:autoSpaceDE w:val="0"/>
        <w:autoSpaceDN w:val="0"/>
        <w:adjustRightInd w:val="0"/>
        <w:jc w:val="both"/>
        <w:rPr>
          <w:color w:val="000000"/>
          <w:sz w:val="20"/>
          <w:szCs w:val="20"/>
        </w:rPr>
      </w:pPr>
      <w:r>
        <w:rPr>
          <w:color w:val="000000"/>
          <w:sz w:val="20"/>
          <w:szCs w:val="20"/>
        </w:rPr>
        <w:t xml:space="preserve">The possible </w:t>
      </w:r>
      <w:r w:rsidR="00350433">
        <w:rPr>
          <w:color w:val="000000"/>
          <w:sz w:val="20"/>
          <w:szCs w:val="20"/>
        </w:rPr>
        <w:t>RF interaction between the panels. For example, let’s assume TCI state 1 is supported by panel A, TCI state 2 is supported by panel B. During TCI state switch, TCI state 2 switches to TCI state 3, which is supported by panel C. In this case, the UE needs to power off panel B and power on panel C. In this case, there might be some transient impact on panel A because of the power</w:t>
      </w:r>
      <w:r w:rsidR="008F0C79">
        <w:rPr>
          <w:color w:val="000000"/>
          <w:sz w:val="20"/>
          <w:szCs w:val="20"/>
        </w:rPr>
        <w:t>-</w:t>
      </w:r>
      <w:r w:rsidR="00350433">
        <w:rPr>
          <w:color w:val="000000"/>
          <w:sz w:val="20"/>
          <w:szCs w:val="20"/>
        </w:rPr>
        <w:t>off/on of panel B/C, respectively, depending on the power supply and panel RF setting</w:t>
      </w:r>
      <w:r w:rsidR="008F0C79">
        <w:rPr>
          <w:color w:val="000000"/>
          <w:sz w:val="20"/>
          <w:szCs w:val="20"/>
        </w:rPr>
        <w:t xml:space="preserve"> preparation</w:t>
      </w:r>
      <w:r w:rsidR="00350433">
        <w:rPr>
          <w:color w:val="000000"/>
          <w:sz w:val="20"/>
          <w:szCs w:val="20"/>
        </w:rPr>
        <w:t xml:space="preserve">. In an extreme case, </w:t>
      </w:r>
      <w:r w:rsidR="008F0C79">
        <w:rPr>
          <w:color w:val="000000"/>
          <w:sz w:val="20"/>
          <w:szCs w:val="20"/>
        </w:rPr>
        <w:t>both TCI states 1 and 2 switch to TCI states 3 and 4 and involve power-off of two panels and power-on of another two panels.</w:t>
      </w:r>
    </w:p>
    <w:p w14:paraId="1FA3872D" w14:textId="0F2CD245" w:rsidR="00F71571" w:rsidRDefault="00911016" w:rsidP="00F71571">
      <w:pPr>
        <w:pStyle w:val="ListParagraph"/>
        <w:numPr>
          <w:ilvl w:val="0"/>
          <w:numId w:val="46"/>
        </w:numPr>
        <w:autoSpaceDE w:val="0"/>
        <w:autoSpaceDN w:val="0"/>
        <w:adjustRightInd w:val="0"/>
        <w:jc w:val="both"/>
        <w:rPr>
          <w:color w:val="000000"/>
          <w:sz w:val="20"/>
          <w:szCs w:val="20"/>
        </w:rPr>
      </w:pPr>
      <w:r w:rsidRPr="008F0C79">
        <w:rPr>
          <w:color w:val="000000"/>
          <w:sz w:val="20"/>
          <w:szCs w:val="20"/>
        </w:rPr>
        <w:t>L1</w:t>
      </w:r>
      <w:r>
        <w:rPr>
          <w:color w:val="000000"/>
          <w:sz w:val="20"/>
          <w:szCs w:val="20"/>
        </w:rPr>
        <w:t xml:space="preserve"> </w:t>
      </w:r>
      <w:r w:rsidRPr="008F0C79">
        <w:rPr>
          <w:color w:val="000000"/>
          <w:sz w:val="20"/>
          <w:szCs w:val="20"/>
        </w:rPr>
        <w:t>measurement and processing constraint</w:t>
      </w:r>
      <w:r>
        <w:rPr>
          <w:color w:val="000000"/>
          <w:sz w:val="20"/>
          <w:szCs w:val="20"/>
        </w:rPr>
        <w:t xml:space="preserve">. </w:t>
      </w:r>
      <w:r w:rsidR="00D031B0">
        <w:rPr>
          <w:color w:val="000000"/>
          <w:sz w:val="20"/>
          <w:szCs w:val="20"/>
        </w:rPr>
        <w:t xml:space="preserve">If both target TCI states are unknow, the UE needs to perform </w:t>
      </w:r>
      <w:r>
        <w:rPr>
          <w:color w:val="000000"/>
          <w:sz w:val="20"/>
          <w:szCs w:val="20"/>
        </w:rPr>
        <w:t xml:space="preserve">parallel </w:t>
      </w:r>
      <w:r w:rsidR="00D031B0">
        <w:rPr>
          <w:color w:val="000000"/>
          <w:sz w:val="20"/>
          <w:szCs w:val="20"/>
        </w:rPr>
        <w:t>L1</w:t>
      </w:r>
      <w:r>
        <w:rPr>
          <w:color w:val="000000"/>
          <w:sz w:val="20"/>
          <w:szCs w:val="20"/>
        </w:rPr>
        <w:t>-RSRP</w:t>
      </w:r>
      <w:r w:rsidR="00D031B0">
        <w:rPr>
          <w:color w:val="000000"/>
          <w:sz w:val="20"/>
          <w:szCs w:val="20"/>
        </w:rPr>
        <w:t xml:space="preserve"> </w:t>
      </w:r>
      <w:r>
        <w:rPr>
          <w:color w:val="000000"/>
          <w:sz w:val="20"/>
          <w:szCs w:val="20"/>
        </w:rPr>
        <w:t>measurement for RX beam refinement</w:t>
      </w:r>
      <w:r w:rsidR="00D031B0">
        <w:rPr>
          <w:color w:val="000000"/>
          <w:sz w:val="20"/>
          <w:szCs w:val="20"/>
        </w:rPr>
        <w:t>.</w:t>
      </w:r>
      <w:r>
        <w:rPr>
          <w:color w:val="000000"/>
          <w:sz w:val="20"/>
          <w:szCs w:val="20"/>
        </w:rPr>
        <w:t xml:space="preserve"> If </w:t>
      </w:r>
      <w:r w:rsidR="008F0C79" w:rsidRPr="008F0C79">
        <w:rPr>
          <w:color w:val="000000"/>
          <w:sz w:val="20"/>
          <w:szCs w:val="20"/>
        </w:rPr>
        <w:t xml:space="preserve">there is some baseband resource sharing </w:t>
      </w:r>
      <w:r w:rsidR="008A24DA">
        <w:rPr>
          <w:color w:val="000000"/>
          <w:sz w:val="20"/>
          <w:szCs w:val="20"/>
        </w:rPr>
        <w:t xml:space="preserve">between the </w:t>
      </w:r>
      <w:r w:rsidR="008F0C79" w:rsidRPr="008F0C79">
        <w:rPr>
          <w:color w:val="000000"/>
          <w:sz w:val="20"/>
          <w:szCs w:val="20"/>
        </w:rPr>
        <w:t>two L1-RSRP measurement processe</w:t>
      </w:r>
      <w:r>
        <w:rPr>
          <w:color w:val="000000"/>
          <w:sz w:val="20"/>
          <w:szCs w:val="20"/>
        </w:rPr>
        <w:t>s</w:t>
      </w:r>
      <w:r w:rsidR="00E90EC1">
        <w:rPr>
          <w:color w:val="000000"/>
          <w:sz w:val="20"/>
          <w:szCs w:val="20"/>
        </w:rPr>
        <w:t xml:space="preserve">, </w:t>
      </w:r>
      <w:r w:rsidR="008A24DA">
        <w:rPr>
          <w:color w:val="000000"/>
          <w:sz w:val="20"/>
          <w:szCs w:val="20"/>
        </w:rPr>
        <w:t xml:space="preserve">they </w:t>
      </w:r>
      <w:r w:rsidR="008F0C79" w:rsidRPr="008F0C79">
        <w:rPr>
          <w:color w:val="000000"/>
          <w:sz w:val="20"/>
          <w:szCs w:val="20"/>
        </w:rPr>
        <w:t>are not completely independent</w:t>
      </w:r>
      <w:r w:rsidR="008A24DA">
        <w:rPr>
          <w:color w:val="000000"/>
          <w:sz w:val="20"/>
          <w:szCs w:val="20"/>
        </w:rPr>
        <w:t>.</w:t>
      </w:r>
    </w:p>
    <w:p w14:paraId="4ED81EFE" w14:textId="2C44B932" w:rsidR="00AB1ED1" w:rsidRDefault="00AB1ED1" w:rsidP="00F71571">
      <w:pPr>
        <w:pStyle w:val="ListParagraph"/>
        <w:numPr>
          <w:ilvl w:val="0"/>
          <w:numId w:val="46"/>
        </w:numPr>
        <w:autoSpaceDE w:val="0"/>
        <w:autoSpaceDN w:val="0"/>
        <w:adjustRightInd w:val="0"/>
        <w:jc w:val="both"/>
        <w:rPr>
          <w:color w:val="000000"/>
          <w:sz w:val="20"/>
          <w:szCs w:val="20"/>
        </w:rPr>
      </w:pPr>
      <w:r>
        <w:rPr>
          <w:color w:val="000000"/>
          <w:sz w:val="20"/>
          <w:szCs w:val="20"/>
        </w:rPr>
        <w:t>There may be other constraints.</w:t>
      </w:r>
    </w:p>
    <w:p w14:paraId="63817A7E" w14:textId="6769417D" w:rsidR="00AB1ED1" w:rsidRDefault="00AB1ED1" w:rsidP="00AB1ED1">
      <w:pPr>
        <w:autoSpaceDE w:val="0"/>
        <w:autoSpaceDN w:val="0"/>
        <w:adjustRightInd w:val="0"/>
        <w:jc w:val="both"/>
        <w:rPr>
          <w:color w:val="000000"/>
          <w:sz w:val="20"/>
          <w:szCs w:val="20"/>
        </w:rPr>
      </w:pPr>
    </w:p>
    <w:p w14:paraId="4C02346C" w14:textId="48E4CD98" w:rsidR="00AB1ED1" w:rsidRPr="00AB1ED1" w:rsidRDefault="00AB1ED1" w:rsidP="00AB1ED1">
      <w:pPr>
        <w:autoSpaceDE w:val="0"/>
        <w:autoSpaceDN w:val="0"/>
        <w:adjustRightInd w:val="0"/>
        <w:jc w:val="both"/>
        <w:rPr>
          <w:color w:val="000000"/>
          <w:sz w:val="20"/>
          <w:szCs w:val="20"/>
        </w:rPr>
      </w:pPr>
      <w:r>
        <w:rPr>
          <w:color w:val="000000"/>
          <w:sz w:val="20"/>
          <w:szCs w:val="20"/>
        </w:rPr>
        <w:t xml:space="preserve">To address the constraints so the TCI state switch in the context of two active TCI states can be made “independent,” </w:t>
      </w:r>
      <w:r w:rsidR="00D55AC7">
        <w:rPr>
          <w:color w:val="000000"/>
          <w:sz w:val="20"/>
          <w:szCs w:val="20"/>
        </w:rPr>
        <w:t xml:space="preserve">one possible way is </w:t>
      </w:r>
      <w:r>
        <w:rPr>
          <w:color w:val="000000"/>
          <w:sz w:val="20"/>
          <w:szCs w:val="20"/>
        </w:rPr>
        <w:t xml:space="preserve">to provide some additional delay </w:t>
      </w:r>
      <w:r w:rsidR="00D55AC7">
        <w:rPr>
          <w:color w:val="000000"/>
          <w:sz w:val="20"/>
          <w:szCs w:val="20"/>
        </w:rPr>
        <w:t>in the TCI switch delay.</w:t>
      </w:r>
    </w:p>
    <w:p w14:paraId="5DD131E5" w14:textId="77777777" w:rsidR="00253687" w:rsidRDefault="00253687" w:rsidP="00A41D34">
      <w:pPr>
        <w:autoSpaceDE w:val="0"/>
        <w:autoSpaceDN w:val="0"/>
        <w:adjustRightInd w:val="0"/>
        <w:jc w:val="both"/>
        <w:rPr>
          <w:color w:val="000000"/>
          <w:sz w:val="20"/>
          <w:szCs w:val="20"/>
        </w:rPr>
      </w:pPr>
    </w:p>
    <w:p w14:paraId="0E47437F" w14:textId="0920FC72" w:rsidR="00724E0C" w:rsidRPr="00724E0C" w:rsidRDefault="00AB1ED1" w:rsidP="00724E0C">
      <w:pPr>
        <w:spacing w:before="100" w:beforeAutospacing="1" w:after="100"/>
        <w:rPr>
          <w:b/>
          <w:bCs/>
          <w:i/>
          <w:iCs/>
          <w:sz w:val="20"/>
          <w:szCs w:val="20"/>
        </w:rPr>
      </w:pPr>
      <w:r>
        <w:rPr>
          <w:b/>
          <w:bCs/>
          <w:i/>
          <w:iCs/>
          <w:sz w:val="20"/>
          <w:szCs w:val="20"/>
        </w:rPr>
        <w:t xml:space="preserve">Proposal </w:t>
      </w:r>
      <w:r w:rsidR="0045245B">
        <w:rPr>
          <w:b/>
          <w:bCs/>
          <w:i/>
          <w:iCs/>
          <w:sz w:val="20"/>
          <w:szCs w:val="20"/>
        </w:rPr>
        <w:t>3</w:t>
      </w:r>
      <w:r w:rsidR="00092DEA" w:rsidRPr="004E0E90">
        <w:rPr>
          <w:b/>
          <w:bCs/>
          <w:i/>
          <w:iCs/>
          <w:sz w:val="20"/>
          <w:szCs w:val="20"/>
        </w:rPr>
        <w:t xml:space="preserve">: </w:t>
      </w:r>
      <w:r>
        <w:rPr>
          <w:b/>
          <w:bCs/>
          <w:i/>
          <w:iCs/>
          <w:sz w:val="20"/>
          <w:szCs w:val="20"/>
        </w:rPr>
        <w:t xml:space="preserve">RAN4 </w:t>
      </w:r>
      <w:r w:rsidR="00CB727F">
        <w:rPr>
          <w:b/>
          <w:bCs/>
          <w:i/>
          <w:iCs/>
          <w:sz w:val="20"/>
          <w:szCs w:val="20"/>
        </w:rPr>
        <w:t>should</w:t>
      </w:r>
      <w:r>
        <w:rPr>
          <w:b/>
          <w:bCs/>
          <w:i/>
          <w:iCs/>
          <w:sz w:val="20"/>
          <w:szCs w:val="20"/>
        </w:rPr>
        <w:t xml:space="preserve"> investigate if there are </w:t>
      </w:r>
      <w:r w:rsidR="004C554E">
        <w:rPr>
          <w:b/>
          <w:bCs/>
          <w:i/>
          <w:iCs/>
          <w:sz w:val="20"/>
          <w:szCs w:val="20"/>
        </w:rPr>
        <w:t xml:space="preserve">implementation </w:t>
      </w:r>
      <w:r>
        <w:rPr>
          <w:b/>
          <w:bCs/>
          <w:i/>
          <w:iCs/>
          <w:sz w:val="20"/>
          <w:szCs w:val="20"/>
        </w:rPr>
        <w:t xml:space="preserve">constraints </w:t>
      </w:r>
      <w:r w:rsidR="004C554E">
        <w:rPr>
          <w:b/>
          <w:bCs/>
          <w:i/>
          <w:iCs/>
          <w:sz w:val="20"/>
          <w:szCs w:val="20"/>
        </w:rPr>
        <w:t xml:space="preserve">in dual TCI switching and if so, </w:t>
      </w:r>
      <w:r w:rsidR="00CB727F">
        <w:rPr>
          <w:b/>
          <w:bCs/>
          <w:i/>
          <w:iCs/>
          <w:sz w:val="20"/>
          <w:szCs w:val="20"/>
        </w:rPr>
        <w:t xml:space="preserve">whether </w:t>
      </w:r>
      <w:r w:rsidR="004C554E">
        <w:rPr>
          <w:b/>
          <w:bCs/>
          <w:i/>
          <w:iCs/>
          <w:sz w:val="20"/>
          <w:szCs w:val="20"/>
        </w:rPr>
        <w:t>to allow some additional delay</w:t>
      </w:r>
      <w:r w:rsidR="004F07FD">
        <w:rPr>
          <w:b/>
          <w:bCs/>
          <w:i/>
          <w:iCs/>
          <w:sz w:val="20"/>
          <w:szCs w:val="20"/>
        </w:rPr>
        <w:t>.</w:t>
      </w:r>
    </w:p>
    <w:p w14:paraId="51E83A17" w14:textId="5A4CF31A" w:rsidR="00724E0C" w:rsidRDefault="00724E0C" w:rsidP="00724E0C">
      <w:pPr>
        <w:pStyle w:val="Heading2"/>
      </w:pPr>
      <w:r>
        <w:t>2.3 K</w:t>
      </w:r>
      <w:r w:rsidRPr="00724E0C">
        <w:t>nown and unknown conditions</w:t>
      </w:r>
    </w:p>
    <w:p w14:paraId="55095880" w14:textId="14F5D34E" w:rsidR="00724E0C" w:rsidRDefault="00724E0C" w:rsidP="00724E0C">
      <w:pPr>
        <w:rPr>
          <w:color w:val="000000"/>
          <w:sz w:val="20"/>
          <w:szCs w:val="20"/>
          <w:lang w:val="en-GB"/>
        </w:rPr>
      </w:pPr>
      <w:r>
        <w:rPr>
          <w:color w:val="000000"/>
          <w:sz w:val="20"/>
          <w:szCs w:val="20"/>
          <w:lang w:val="en-GB"/>
        </w:rPr>
        <w:t xml:space="preserve">In the WF [1], </w:t>
      </w:r>
      <w:r w:rsidR="00C23FA3">
        <w:rPr>
          <w:color w:val="000000"/>
          <w:sz w:val="20"/>
          <w:szCs w:val="20"/>
          <w:lang w:val="en-GB"/>
        </w:rPr>
        <w:t>it is stated</w:t>
      </w:r>
      <w:r>
        <w:rPr>
          <w:color w:val="000000"/>
          <w:sz w:val="20"/>
          <w:szCs w:val="20"/>
          <w:lang w:val="en-GB"/>
        </w:rPr>
        <w:t>:</w:t>
      </w:r>
    </w:p>
    <w:p w14:paraId="35B8057E" w14:textId="6FB7886A" w:rsidR="00C23FA3" w:rsidRDefault="00C23FA3" w:rsidP="00724E0C">
      <w:pPr>
        <w:rPr>
          <w:color w:val="000000"/>
          <w:sz w:val="20"/>
          <w:szCs w:val="20"/>
          <w:lang w:val="en-GB"/>
        </w:rPr>
      </w:pPr>
    </w:p>
    <w:p w14:paraId="049A099D" w14:textId="77777777" w:rsidR="00C23FA3" w:rsidRPr="00C23FA3" w:rsidRDefault="00C23FA3" w:rsidP="00C23FA3">
      <w:pPr>
        <w:rPr>
          <w:b/>
          <w:sz w:val="20"/>
          <w:szCs w:val="20"/>
          <w:u w:val="single"/>
          <w:lang w:eastAsia="ko-KR"/>
        </w:rPr>
      </w:pPr>
      <w:r w:rsidRPr="00C23FA3">
        <w:rPr>
          <w:b/>
          <w:sz w:val="20"/>
          <w:szCs w:val="20"/>
          <w:u w:val="single"/>
          <w:lang w:eastAsia="ko-KR"/>
        </w:rPr>
        <w:t>Issue 1-4-1: Known and unknown states combination</w:t>
      </w:r>
    </w:p>
    <w:p w14:paraId="246F868E" w14:textId="77777777" w:rsidR="00C23FA3" w:rsidRPr="00C23FA3" w:rsidRDefault="00C23FA3" w:rsidP="00C23FA3">
      <w:pPr>
        <w:pStyle w:val="ListParagraph"/>
        <w:numPr>
          <w:ilvl w:val="0"/>
          <w:numId w:val="36"/>
        </w:numPr>
        <w:spacing w:after="120"/>
        <w:ind w:left="720"/>
        <w:contextualSpacing w:val="0"/>
        <w:rPr>
          <w:rFonts w:eastAsia="SimSun"/>
          <w:sz w:val="20"/>
          <w:szCs w:val="20"/>
        </w:rPr>
      </w:pPr>
      <w:r w:rsidRPr="00C23FA3">
        <w:rPr>
          <w:rFonts w:eastAsia="SimSun"/>
          <w:sz w:val="20"/>
          <w:szCs w:val="20"/>
        </w:rPr>
        <w:t xml:space="preserve">Dual TCI state switching requirements are defined for simultaneous reception. It is FFS whether we need to define any new requirements for non-simultaneous reception. The dual TCI states known, or unknown are FFS. </w:t>
      </w:r>
    </w:p>
    <w:p w14:paraId="6589CA1A" w14:textId="77777777" w:rsidR="00C23FA3" w:rsidRPr="00C23FA3" w:rsidRDefault="00C23FA3" w:rsidP="00C23FA3">
      <w:pPr>
        <w:pStyle w:val="ListParagraph"/>
        <w:numPr>
          <w:ilvl w:val="1"/>
          <w:numId w:val="36"/>
        </w:numPr>
        <w:spacing w:after="120"/>
        <w:ind w:left="1440"/>
        <w:contextualSpacing w:val="0"/>
        <w:rPr>
          <w:rFonts w:eastAsia="SimSun"/>
          <w:sz w:val="20"/>
          <w:szCs w:val="20"/>
        </w:rPr>
      </w:pPr>
      <w:r w:rsidRPr="00C23FA3">
        <w:rPr>
          <w:rFonts w:eastAsia="SimSun"/>
          <w:sz w:val="20"/>
          <w:szCs w:val="20"/>
        </w:rPr>
        <w:t xml:space="preserve">Option A: known and known </w:t>
      </w:r>
    </w:p>
    <w:p w14:paraId="721B4373" w14:textId="77777777" w:rsidR="00C23FA3" w:rsidRPr="00C23FA3" w:rsidRDefault="00C23FA3" w:rsidP="00C23FA3">
      <w:pPr>
        <w:pStyle w:val="ListParagraph"/>
        <w:numPr>
          <w:ilvl w:val="1"/>
          <w:numId w:val="36"/>
        </w:numPr>
        <w:spacing w:after="120"/>
        <w:ind w:left="1440"/>
        <w:contextualSpacing w:val="0"/>
        <w:rPr>
          <w:rFonts w:eastAsia="SimSun"/>
          <w:sz w:val="20"/>
          <w:szCs w:val="20"/>
        </w:rPr>
      </w:pPr>
      <w:r w:rsidRPr="00C23FA3">
        <w:rPr>
          <w:rFonts w:eastAsia="SimSun"/>
          <w:sz w:val="20"/>
          <w:szCs w:val="20"/>
        </w:rPr>
        <w:t xml:space="preserve">Option B: Known and unknown </w:t>
      </w:r>
    </w:p>
    <w:p w14:paraId="1AF78439" w14:textId="77777777" w:rsidR="00C23FA3" w:rsidRPr="00C23FA3" w:rsidRDefault="00C23FA3" w:rsidP="00C23FA3">
      <w:pPr>
        <w:pStyle w:val="ListParagraph"/>
        <w:numPr>
          <w:ilvl w:val="1"/>
          <w:numId w:val="36"/>
        </w:numPr>
        <w:spacing w:after="120"/>
        <w:ind w:left="1440"/>
        <w:contextualSpacing w:val="0"/>
        <w:rPr>
          <w:rFonts w:eastAsia="SimSun"/>
          <w:sz w:val="20"/>
          <w:szCs w:val="20"/>
        </w:rPr>
      </w:pPr>
      <w:r w:rsidRPr="00C23FA3">
        <w:rPr>
          <w:rFonts w:eastAsia="SimSun"/>
          <w:sz w:val="20"/>
          <w:szCs w:val="20"/>
        </w:rPr>
        <w:t>Option C: unknown and unknown</w:t>
      </w:r>
    </w:p>
    <w:p w14:paraId="6EF93BF2" w14:textId="1624DDD1" w:rsidR="00C23FA3" w:rsidRDefault="00C23FA3" w:rsidP="00724E0C">
      <w:pPr>
        <w:rPr>
          <w:color w:val="000000"/>
          <w:sz w:val="20"/>
          <w:szCs w:val="20"/>
          <w:lang w:val="en-GB"/>
        </w:rPr>
      </w:pPr>
    </w:p>
    <w:p w14:paraId="27F11390" w14:textId="6FCF0CB6" w:rsidR="00AC090B" w:rsidRPr="00AC090B" w:rsidRDefault="002935D4" w:rsidP="00724E0C">
      <w:pPr>
        <w:rPr>
          <w:color w:val="000000"/>
          <w:sz w:val="20"/>
          <w:szCs w:val="20"/>
          <w:lang w:val="en-GB"/>
        </w:rPr>
      </w:pPr>
      <w:r>
        <w:rPr>
          <w:color w:val="000000"/>
          <w:sz w:val="20"/>
          <w:szCs w:val="20"/>
          <w:lang w:val="en-GB"/>
        </w:rPr>
        <w:t>Currently, the known state is defined in 38.133 as follows</w:t>
      </w:r>
      <w:r w:rsidR="00AC090B">
        <w:rPr>
          <w:color w:val="000000"/>
          <w:sz w:val="20"/>
          <w:szCs w:val="20"/>
          <w:lang w:val="en-GB"/>
        </w:rPr>
        <w:t>.</w:t>
      </w:r>
    </w:p>
    <w:p w14:paraId="64B6FDAC" w14:textId="77777777" w:rsidR="002935D4" w:rsidRDefault="002935D4" w:rsidP="00724E0C">
      <w:pPr>
        <w:rPr>
          <w:color w:val="000000"/>
          <w:sz w:val="20"/>
          <w:szCs w:val="20"/>
          <w:lang w:val="en-GB"/>
        </w:rPr>
      </w:pPr>
    </w:p>
    <w:p w14:paraId="27A9B509" w14:textId="221F5959" w:rsidR="002935D4" w:rsidRDefault="002935D4" w:rsidP="00AC090B">
      <w:pPr>
        <w:jc w:val="center"/>
        <w:rPr>
          <w:color w:val="000000"/>
          <w:sz w:val="20"/>
          <w:szCs w:val="20"/>
          <w:lang w:val="en-GB"/>
        </w:rPr>
      </w:pPr>
      <w:r w:rsidRPr="002935D4">
        <w:rPr>
          <w:noProof/>
          <w:color w:val="000000"/>
          <w:sz w:val="20"/>
          <w:szCs w:val="20"/>
          <w:lang w:val="en-GB"/>
        </w:rPr>
        <w:lastRenderedPageBreak/>
        <w:drawing>
          <wp:inline distT="0" distB="0" distL="0" distR="0" wp14:anchorId="27B3791C" wp14:editId="41A6CB85">
            <wp:extent cx="4902966" cy="2161859"/>
            <wp:effectExtent l="0" t="0" r="0" b="0"/>
            <wp:docPr id="6" name="Picture 6" descr="Text, let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Text, letter&#10;&#10;Description automatically generated"/>
                    <pic:cNvPicPr/>
                  </pic:nvPicPr>
                  <pic:blipFill>
                    <a:blip r:embed="rId9"/>
                    <a:stretch>
                      <a:fillRect/>
                    </a:stretch>
                  </pic:blipFill>
                  <pic:spPr>
                    <a:xfrm>
                      <a:off x="0" y="0"/>
                      <a:ext cx="5016448" cy="2211896"/>
                    </a:xfrm>
                    <a:prstGeom prst="rect">
                      <a:avLst/>
                    </a:prstGeom>
                  </pic:spPr>
                </pic:pic>
              </a:graphicData>
            </a:graphic>
          </wp:inline>
        </w:drawing>
      </w:r>
    </w:p>
    <w:p w14:paraId="028C604A" w14:textId="77777777" w:rsidR="002935D4" w:rsidRDefault="002935D4" w:rsidP="00724E0C">
      <w:pPr>
        <w:rPr>
          <w:color w:val="000000"/>
          <w:sz w:val="20"/>
          <w:szCs w:val="20"/>
          <w:lang w:val="en-GB"/>
        </w:rPr>
      </w:pPr>
    </w:p>
    <w:p w14:paraId="2B5199FC" w14:textId="77777777" w:rsidR="00AC090B" w:rsidRDefault="00AC090B" w:rsidP="00AC090B">
      <w:pPr>
        <w:rPr>
          <w:color w:val="000000"/>
          <w:sz w:val="20"/>
          <w:szCs w:val="20"/>
          <w:lang w:val="en-GB"/>
        </w:rPr>
      </w:pPr>
      <w:r>
        <w:rPr>
          <w:color w:val="000000"/>
          <w:sz w:val="20"/>
          <w:szCs w:val="20"/>
          <w:lang w:val="en-GB"/>
        </w:rPr>
        <w:t>Normally, t</w:t>
      </w:r>
      <w:r w:rsidRPr="00F64097">
        <w:rPr>
          <w:color w:val="000000"/>
          <w:sz w:val="20"/>
          <w:szCs w:val="20"/>
          <w:lang w:val="en-GB"/>
        </w:rPr>
        <w:t>he network is supposed to configure two target TCI states based on UE group-based beam reporting</w:t>
      </w:r>
      <w:r>
        <w:rPr>
          <w:color w:val="000000"/>
          <w:sz w:val="20"/>
          <w:szCs w:val="20"/>
          <w:lang w:val="en-GB"/>
        </w:rPr>
        <w:t xml:space="preserve">. However, it is not guaranteed that the TCI state remains detectable during the TCI state switching period due to UE rotation. Therefore, all three options are to be considered. </w:t>
      </w:r>
    </w:p>
    <w:p w14:paraId="748D23D9" w14:textId="77777777" w:rsidR="00AC090B" w:rsidRDefault="00AC090B" w:rsidP="00AC090B">
      <w:pPr>
        <w:rPr>
          <w:color w:val="000000"/>
          <w:sz w:val="20"/>
          <w:szCs w:val="20"/>
          <w:lang w:val="en-GB"/>
        </w:rPr>
      </w:pPr>
    </w:p>
    <w:p w14:paraId="65A52AB9" w14:textId="4F3E9387" w:rsidR="00AC090B" w:rsidRPr="00591E7E" w:rsidRDefault="00AC090B" w:rsidP="00AC090B">
      <w:pPr>
        <w:spacing w:before="100" w:beforeAutospacing="1" w:after="100"/>
        <w:rPr>
          <w:b/>
          <w:bCs/>
          <w:i/>
          <w:iCs/>
          <w:sz w:val="20"/>
          <w:szCs w:val="20"/>
        </w:rPr>
      </w:pPr>
      <w:r>
        <w:rPr>
          <w:b/>
          <w:bCs/>
          <w:i/>
          <w:iCs/>
          <w:sz w:val="20"/>
          <w:szCs w:val="20"/>
        </w:rPr>
        <w:t>Proposal 4</w:t>
      </w:r>
      <w:r w:rsidRPr="004E0E90">
        <w:rPr>
          <w:b/>
          <w:bCs/>
          <w:i/>
          <w:iCs/>
          <w:sz w:val="20"/>
          <w:szCs w:val="20"/>
        </w:rPr>
        <w:t xml:space="preserve">: </w:t>
      </w:r>
      <w:r>
        <w:rPr>
          <w:b/>
          <w:bCs/>
          <w:i/>
          <w:iCs/>
          <w:sz w:val="20"/>
          <w:szCs w:val="20"/>
        </w:rPr>
        <w:t>All three options (A, B, and C) should be considere</w:t>
      </w:r>
      <w:r w:rsidR="006A7B92">
        <w:rPr>
          <w:b/>
          <w:bCs/>
          <w:i/>
          <w:iCs/>
          <w:sz w:val="20"/>
          <w:szCs w:val="20"/>
        </w:rPr>
        <w:t>d</w:t>
      </w:r>
      <w:r>
        <w:rPr>
          <w:b/>
          <w:bCs/>
          <w:i/>
          <w:iCs/>
          <w:sz w:val="20"/>
          <w:szCs w:val="20"/>
        </w:rPr>
        <w:t>.</w:t>
      </w:r>
    </w:p>
    <w:p w14:paraId="42B26C0E" w14:textId="77777777" w:rsidR="00724E0C" w:rsidRDefault="00724E0C" w:rsidP="00A75C35">
      <w:pPr>
        <w:autoSpaceDE w:val="0"/>
        <w:autoSpaceDN w:val="0"/>
        <w:adjustRightInd w:val="0"/>
        <w:jc w:val="both"/>
        <w:rPr>
          <w:color w:val="000000"/>
          <w:sz w:val="20"/>
          <w:szCs w:val="20"/>
        </w:rPr>
      </w:pPr>
    </w:p>
    <w:p w14:paraId="7C8B6127" w14:textId="58A053A4" w:rsidR="00353C63" w:rsidRPr="00823989" w:rsidRDefault="00F62112" w:rsidP="00823989">
      <w:pPr>
        <w:pStyle w:val="Heading2"/>
      </w:pPr>
      <w:r>
        <w:t>2.</w:t>
      </w:r>
      <w:r w:rsidR="00591E7E">
        <w:t>4</w:t>
      </w:r>
      <w:r>
        <w:t xml:space="preserve"> </w:t>
      </w:r>
      <w:r w:rsidR="00B6233A" w:rsidRPr="00B6233A">
        <w:t>TCI state switch delay requirements</w:t>
      </w:r>
    </w:p>
    <w:p w14:paraId="5DB36EE5" w14:textId="6A4E22E4" w:rsidR="00C273CF" w:rsidRDefault="00353C63" w:rsidP="001E7A2A">
      <w:pPr>
        <w:rPr>
          <w:color w:val="000000"/>
          <w:sz w:val="20"/>
          <w:szCs w:val="20"/>
          <w:lang w:val="en-GB"/>
        </w:rPr>
      </w:pPr>
      <w:r>
        <w:rPr>
          <w:color w:val="000000"/>
          <w:sz w:val="20"/>
          <w:szCs w:val="20"/>
          <w:lang w:val="en-GB"/>
        </w:rPr>
        <w:t xml:space="preserve">For the </w:t>
      </w:r>
      <w:r w:rsidRPr="00353C63">
        <w:rPr>
          <w:color w:val="000000"/>
          <w:sz w:val="20"/>
          <w:szCs w:val="20"/>
          <w:lang w:val="en-GB"/>
        </w:rPr>
        <w:t>(known, known)</w:t>
      </w:r>
      <w:r>
        <w:rPr>
          <w:color w:val="000000"/>
          <w:sz w:val="20"/>
          <w:szCs w:val="20"/>
          <w:lang w:val="en-GB"/>
        </w:rPr>
        <w:t xml:space="preserve"> and </w:t>
      </w:r>
      <w:r w:rsidRPr="00353C63">
        <w:rPr>
          <w:color w:val="000000"/>
          <w:sz w:val="20"/>
          <w:szCs w:val="20"/>
          <w:lang w:val="en-GB"/>
        </w:rPr>
        <w:t>(unknown, unknown)</w:t>
      </w:r>
      <w:r>
        <w:rPr>
          <w:color w:val="000000"/>
          <w:sz w:val="20"/>
          <w:szCs w:val="20"/>
          <w:lang w:val="en-GB"/>
        </w:rPr>
        <w:t xml:space="preserve"> combinations, the legacy TCI state switching delay is expected to be reused, subject to further investigation of Proposal </w:t>
      </w:r>
      <w:r w:rsidR="00591E7E">
        <w:rPr>
          <w:color w:val="000000"/>
          <w:sz w:val="20"/>
          <w:szCs w:val="20"/>
          <w:lang w:val="en-GB"/>
        </w:rPr>
        <w:t>3</w:t>
      </w:r>
      <w:r>
        <w:rPr>
          <w:color w:val="000000"/>
          <w:sz w:val="20"/>
          <w:szCs w:val="20"/>
          <w:lang w:val="en-GB"/>
        </w:rPr>
        <w:t xml:space="preserve">. </w:t>
      </w:r>
    </w:p>
    <w:p w14:paraId="5DF3DFF6" w14:textId="6FE3B7E1" w:rsidR="00EA6EB0" w:rsidRDefault="00EA6EB0" w:rsidP="001E7A2A">
      <w:pPr>
        <w:rPr>
          <w:color w:val="000000"/>
          <w:sz w:val="20"/>
          <w:szCs w:val="20"/>
          <w:lang w:val="en-GB"/>
        </w:rPr>
      </w:pPr>
    </w:p>
    <w:p w14:paraId="0E1238F0" w14:textId="380D9C8B" w:rsidR="00EA6EB0" w:rsidRDefault="00EA6EB0" w:rsidP="001E7A2A">
      <w:pPr>
        <w:rPr>
          <w:color w:val="000000"/>
          <w:sz w:val="20"/>
          <w:szCs w:val="20"/>
          <w:lang w:val="en-GB"/>
        </w:rPr>
      </w:pPr>
      <w:r>
        <w:rPr>
          <w:color w:val="000000"/>
          <w:sz w:val="20"/>
          <w:szCs w:val="20"/>
          <w:lang w:val="en-GB"/>
        </w:rPr>
        <w:t xml:space="preserve">For the </w:t>
      </w:r>
      <w:r w:rsidRPr="00EA6EB0">
        <w:rPr>
          <w:color w:val="000000"/>
          <w:sz w:val="20"/>
          <w:szCs w:val="20"/>
          <w:lang w:val="en-GB"/>
        </w:rPr>
        <w:t>(known, unknown)</w:t>
      </w:r>
      <w:r>
        <w:rPr>
          <w:color w:val="000000"/>
          <w:sz w:val="20"/>
          <w:szCs w:val="20"/>
          <w:lang w:val="en-GB"/>
        </w:rPr>
        <w:t xml:space="preserve"> combination, </w:t>
      </w:r>
      <w:r w:rsidR="00230C9B">
        <w:rPr>
          <w:color w:val="000000"/>
          <w:sz w:val="20"/>
          <w:szCs w:val="20"/>
          <w:lang w:val="en-GB"/>
        </w:rPr>
        <w:t xml:space="preserve">as we </w:t>
      </w:r>
      <w:r w:rsidR="00A76AAC">
        <w:rPr>
          <w:color w:val="000000"/>
          <w:sz w:val="20"/>
          <w:szCs w:val="20"/>
          <w:lang w:val="en-GB"/>
        </w:rPr>
        <w:t>know the legacy requirements are different</w:t>
      </w:r>
    </w:p>
    <w:p w14:paraId="7D3B57A2" w14:textId="66BDFC93" w:rsidR="00A76AAC" w:rsidRDefault="00A76AAC" w:rsidP="001E7A2A">
      <w:pPr>
        <w:rPr>
          <w:color w:val="000000"/>
          <w:sz w:val="20"/>
          <w:szCs w:val="20"/>
        </w:rPr>
      </w:pPr>
    </w:p>
    <w:p w14:paraId="218F872B" w14:textId="663E3093" w:rsidR="00A76AAC" w:rsidRDefault="00A76AAC" w:rsidP="00A76AAC">
      <w:pPr>
        <w:pStyle w:val="ListParagraph"/>
        <w:numPr>
          <w:ilvl w:val="0"/>
          <w:numId w:val="48"/>
        </w:numPr>
        <w:rPr>
          <w:color w:val="000000"/>
          <w:sz w:val="20"/>
          <w:szCs w:val="20"/>
        </w:rPr>
      </w:pPr>
      <w:r>
        <w:rPr>
          <w:color w:val="000000"/>
          <w:sz w:val="20"/>
          <w:szCs w:val="20"/>
        </w:rPr>
        <w:t xml:space="preserve">Known case: </w:t>
      </w:r>
      <w:r w:rsidRPr="00A76AAC">
        <w:rPr>
          <w:noProof/>
          <w:color w:val="000000"/>
          <w:sz w:val="20"/>
          <w:szCs w:val="20"/>
        </w:rPr>
        <w:drawing>
          <wp:inline distT="0" distB="0" distL="0" distR="0" wp14:anchorId="63B1F36E" wp14:editId="7A76569A">
            <wp:extent cx="3812345" cy="25415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932224" cy="262148"/>
                    </a:xfrm>
                    <a:prstGeom prst="rect">
                      <a:avLst/>
                    </a:prstGeom>
                  </pic:spPr>
                </pic:pic>
              </a:graphicData>
            </a:graphic>
          </wp:inline>
        </w:drawing>
      </w:r>
    </w:p>
    <w:p w14:paraId="7ADA66D1" w14:textId="77777777" w:rsidR="00A76AAC" w:rsidRDefault="00A76AAC" w:rsidP="00A76AAC">
      <w:pPr>
        <w:pStyle w:val="ListParagraph"/>
        <w:rPr>
          <w:color w:val="000000"/>
          <w:sz w:val="20"/>
          <w:szCs w:val="20"/>
        </w:rPr>
      </w:pPr>
    </w:p>
    <w:p w14:paraId="000EEA2D" w14:textId="1A4924B5" w:rsidR="00A76AAC" w:rsidRDefault="00A76AAC" w:rsidP="00A76AAC">
      <w:pPr>
        <w:pStyle w:val="ListParagraph"/>
        <w:numPr>
          <w:ilvl w:val="0"/>
          <w:numId w:val="48"/>
        </w:numPr>
        <w:rPr>
          <w:color w:val="000000"/>
          <w:sz w:val="20"/>
          <w:szCs w:val="20"/>
        </w:rPr>
      </w:pPr>
      <w:r>
        <w:rPr>
          <w:color w:val="000000"/>
          <w:sz w:val="20"/>
          <w:szCs w:val="20"/>
        </w:rPr>
        <w:t xml:space="preserve">Unknown case: </w:t>
      </w:r>
      <w:r w:rsidRPr="00A76AAC">
        <w:rPr>
          <w:noProof/>
          <w:color w:val="000000"/>
          <w:sz w:val="20"/>
          <w:szCs w:val="20"/>
        </w:rPr>
        <w:drawing>
          <wp:inline distT="0" distB="0" distL="0" distR="0" wp14:anchorId="640C438F" wp14:editId="480F5825">
            <wp:extent cx="4624971" cy="26797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824428" cy="279527"/>
                    </a:xfrm>
                    <a:prstGeom prst="rect">
                      <a:avLst/>
                    </a:prstGeom>
                  </pic:spPr>
                </pic:pic>
              </a:graphicData>
            </a:graphic>
          </wp:inline>
        </w:drawing>
      </w:r>
    </w:p>
    <w:p w14:paraId="0311E164" w14:textId="1E4B2F36" w:rsidR="00A76AAC" w:rsidRDefault="00A76AAC" w:rsidP="00A76AAC">
      <w:pPr>
        <w:rPr>
          <w:color w:val="000000"/>
          <w:sz w:val="20"/>
          <w:szCs w:val="20"/>
        </w:rPr>
      </w:pPr>
    </w:p>
    <w:p w14:paraId="5016B0A2" w14:textId="0ECAEFF0" w:rsidR="00A76AAC" w:rsidRDefault="00A76AAC" w:rsidP="00A76AAC">
      <w:pPr>
        <w:rPr>
          <w:color w:val="000000"/>
          <w:sz w:val="20"/>
          <w:szCs w:val="20"/>
        </w:rPr>
      </w:pPr>
      <w:r>
        <w:rPr>
          <w:color w:val="000000"/>
          <w:sz w:val="20"/>
          <w:szCs w:val="20"/>
        </w:rPr>
        <w:t xml:space="preserve">The difference is for the unknow case, the UE needs to perform </w:t>
      </w:r>
      <w:r w:rsidRPr="00A76AAC">
        <w:rPr>
          <w:color w:val="000000"/>
          <w:sz w:val="20"/>
          <w:szCs w:val="20"/>
        </w:rPr>
        <w:t>L1-RSRP measurement for RX beam refinement</w:t>
      </w:r>
      <w:r>
        <w:rPr>
          <w:color w:val="000000"/>
          <w:sz w:val="20"/>
          <w:szCs w:val="20"/>
        </w:rPr>
        <w:t xml:space="preserve">. </w:t>
      </w:r>
    </w:p>
    <w:p w14:paraId="1A637E44" w14:textId="77777777" w:rsidR="00A76AAC" w:rsidRDefault="00A76AAC" w:rsidP="00A76AAC">
      <w:pPr>
        <w:rPr>
          <w:color w:val="000000"/>
          <w:sz w:val="20"/>
          <w:szCs w:val="20"/>
        </w:rPr>
      </w:pPr>
    </w:p>
    <w:p w14:paraId="6F998023" w14:textId="7E0B6C56" w:rsidR="00A76AAC" w:rsidRPr="00A76AAC" w:rsidRDefault="00A76AAC" w:rsidP="00A76AAC">
      <w:pPr>
        <w:rPr>
          <w:color w:val="000000"/>
          <w:sz w:val="20"/>
          <w:szCs w:val="20"/>
        </w:rPr>
      </w:pPr>
      <w:r w:rsidRPr="00A76AAC">
        <w:rPr>
          <w:color w:val="000000"/>
          <w:sz w:val="20"/>
          <w:szCs w:val="20"/>
        </w:rPr>
        <w:t>For the known case, since no L1</w:t>
      </w:r>
      <w:r w:rsidR="000D7D1B">
        <w:rPr>
          <w:color w:val="000000"/>
          <w:sz w:val="20"/>
          <w:szCs w:val="20"/>
        </w:rPr>
        <w:t>-</w:t>
      </w:r>
      <w:r w:rsidRPr="00A76AAC">
        <w:rPr>
          <w:color w:val="000000"/>
          <w:sz w:val="20"/>
          <w:szCs w:val="20"/>
        </w:rPr>
        <w:t xml:space="preserve">RSRP measurement is needed, </w:t>
      </w:r>
      <w:r w:rsidR="000D7D1B">
        <w:rPr>
          <w:color w:val="000000"/>
          <w:sz w:val="20"/>
          <w:szCs w:val="20"/>
        </w:rPr>
        <w:t xml:space="preserve">the UE can use </w:t>
      </w:r>
      <w:r w:rsidRPr="00A76AAC">
        <w:rPr>
          <w:color w:val="000000"/>
          <w:sz w:val="20"/>
          <w:szCs w:val="20"/>
        </w:rPr>
        <w:t>both panels to conduct the L1 measurement for the unknown target TCI state.</w:t>
      </w:r>
    </w:p>
    <w:p w14:paraId="6B812509" w14:textId="77777777" w:rsidR="00353C63" w:rsidRDefault="00353C63" w:rsidP="001E7A2A">
      <w:pPr>
        <w:rPr>
          <w:color w:val="000000"/>
          <w:sz w:val="20"/>
          <w:szCs w:val="20"/>
          <w:lang w:val="en-GB"/>
        </w:rPr>
      </w:pPr>
    </w:p>
    <w:p w14:paraId="6C710BD4" w14:textId="7B9B3AF9" w:rsidR="006C0730" w:rsidRDefault="001E7A2A" w:rsidP="001E7A2A">
      <w:pPr>
        <w:rPr>
          <w:b/>
          <w:bCs/>
          <w:i/>
          <w:iCs/>
          <w:sz w:val="20"/>
          <w:szCs w:val="20"/>
        </w:rPr>
      </w:pPr>
      <w:r>
        <w:rPr>
          <w:b/>
          <w:bCs/>
          <w:i/>
          <w:iCs/>
          <w:sz w:val="20"/>
          <w:szCs w:val="20"/>
        </w:rPr>
        <w:t xml:space="preserve">Proposal </w:t>
      </w:r>
      <w:r w:rsidR="0093011A">
        <w:rPr>
          <w:b/>
          <w:bCs/>
          <w:i/>
          <w:iCs/>
          <w:sz w:val="20"/>
          <w:szCs w:val="20"/>
        </w:rPr>
        <w:t>5</w:t>
      </w:r>
      <w:r w:rsidRPr="004E0E90">
        <w:rPr>
          <w:b/>
          <w:bCs/>
          <w:i/>
          <w:iCs/>
          <w:sz w:val="20"/>
          <w:szCs w:val="20"/>
        </w:rPr>
        <w:t xml:space="preserve">: </w:t>
      </w:r>
      <w:r w:rsidR="006C0730">
        <w:rPr>
          <w:b/>
          <w:bCs/>
          <w:i/>
          <w:iCs/>
          <w:sz w:val="20"/>
          <w:szCs w:val="20"/>
        </w:rPr>
        <w:t>For dual TCI state switching, it is proposed:</w:t>
      </w:r>
    </w:p>
    <w:p w14:paraId="2D5087BC" w14:textId="444FF125" w:rsidR="001E7A2A" w:rsidRPr="006C0730" w:rsidRDefault="006C0730" w:rsidP="006C0730">
      <w:pPr>
        <w:pStyle w:val="ListParagraph"/>
        <w:numPr>
          <w:ilvl w:val="0"/>
          <w:numId w:val="49"/>
        </w:numPr>
        <w:rPr>
          <w:color w:val="000000"/>
          <w:sz w:val="20"/>
          <w:szCs w:val="20"/>
          <w:lang w:val="en-GB"/>
        </w:rPr>
      </w:pPr>
      <w:r w:rsidRPr="006C0730">
        <w:rPr>
          <w:b/>
          <w:bCs/>
          <w:i/>
          <w:iCs/>
          <w:sz w:val="20"/>
          <w:szCs w:val="20"/>
        </w:rPr>
        <w:t xml:space="preserve">For the (known, known) and (unknown, unknown) combinations, the legacy TCI state switching delay is expected to be reused, subject to further investigation of Proposal </w:t>
      </w:r>
      <w:r w:rsidR="00591E7E">
        <w:rPr>
          <w:b/>
          <w:bCs/>
          <w:i/>
          <w:iCs/>
          <w:sz w:val="20"/>
          <w:szCs w:val="20"/>
        </w:rPr>
        <w:t>3</w:t>
      </w:r>
      <w:r w:rsidRPr="006C0730">
        <w:rPr>
          <w:b/>
          <w:bCs/>
          <w:i/>
          <w:iCs/>
          <w:sz w:val="20"/>
          <w:szCs w:val="20"/>
        </w:rPr>
        <w:t>.</w:t>
      </w:r>
    </w:p>
    <w:p w14:paraId="151575D2" w14:textId="30B4EE4F" w:rsidR="00B32B3E" w:rsidRPr="006C0730" w:rsidRDefault="006C0730" w:rsidP="001A2EFB">
      <w:pPr>
        <w:pStyle w:val="ListParagraph"/>
        <w:numPr>
          <w:ilvl w:val="0"/>
          <w:numId w:val="49"/>
        </w:numPr>
        <w:rPr>
          <w:color w:val="000000"/>
          <w:sz w:val="20"/>
          <w:szCs w:val="20"/>
        </w:rPr>
      </w:pPr>
      <w:r w:rsidRPr="006C0730">
        <w:rPr>
          <w:b/>
          <w:bCs/>
          <w:i/>
          <w:iCs/>
          <w:sz w:val="20"/>
          <w:szCs w:val="20"/>
        </w:rPr>
        <w:t>For the (known, unknown) combination, the legacy TCI state switching delay can be further reduced.</w:t>
      </w:r>
    </w:p>
    <w:p w14:paraId="2827105C" w14:textId="77777777" w:rsidR="006C0730" w:rsidRDefault="006C0730" w:rsidP="006C0730">
      <w:pPr>
        <w:pStyle w:val="ListParagraph"/>
        <w:ind w:left="775"/>
        <w:rPr>
          <w:color w:val="000000"/>
          <w:sz w:val="20"/>
          <w:szCs w:val="20"/>
        </w:rPr>
      </w:pPr>
    </w:p>
    <w:p w14:paraId="6EDEA74C" w14:textId="77777777" w:rsidR="00E169E4" w:rsidRPr="00E169E4" w:rsidRDefault="00E169E4" w:rsidP="00E169E4">
      <w:pPr>
        <w:rPr>
          <w:color w:val="000000"/>
          <w:sz w:val="20"/>
          <w:szCs w:val="20"/>
          <w:lang w:val="en-GB"/>
        </w:rPr>
      </w:pPr>
    </w:p>
    <w:p w14:paraId="479623AF" w14:textId="5CE50422" w:rsidR="0093011A" w:rsidRDefault="0093011A" w:rsidP="0093011A">
      <w:pPr>
        <w:pStyle w:val="Heading2"/>
      </w:pPr>
      <w:r>
        <w:t xml:space="preserve">2.5 </w:t>
      </w:r>
      <w:r w:rsidRPr="00BE5B23">
        <w:t xml:space="preserve">UE </w:t>
      </w:r>
      <w:proofErr w:type="spellStart"/>
      <w:r w:rsidRPr="00BE5B23">
        <w:t>behavior</w:t>
      </w:r>
      <w:proofErr w:type="spellEnd"/>
      <w:r w:rsidRPr="00BE5B23">
        <w:t xml:space="preserve"> in case the UE does not support the two configured target TCI states</w:t>
      </w:r>
    </w:p>
    <w:p w14:paraId="65E3BFB2" w14:textId="77777777" w:rsidR="0093011A" w:rsidRDefault="0093011A" w:rsidP="0093011A">
      <w:pPr>
        <w:rPr>
          <w:color w:val="000000"/>
          <w:sz w:val="20"/>
          <w:szCs w:val="20"/>
          <w:lang w:val="en-GB"/>
        </w:rPr>
      </w:pPr>
      <w:r>
        <w:rPr>
          <w:color w:val="000000"/>
          <w:sz w:val="20"/>
          <w:szCs w:val="20"/>
          <w:lang w:val="en-GB"/>
        </w:rPr>
        <w:t>When the network configures two target TCI states to a UE, an issue may arise: what if the UE does not support the two target TCI states simultaneously? To address this issue, we share some options below for consideration:</w:t>
      </w:r>
    </w:p>
    <w:p w14:paraId="6D3E08AC" w14:textId="77777777" w:rsidR="0093011A" w:rsidRDefault="0093011A" w:rsidP="0093011A">
      <w:pPr>
        <w:pStyle w:val="ListParagraph"/>
        <w:numPr>
          <w:ilvl w:val="0"/>
          <w:numId w:val="50"/>
        </w:numPr>
        <w:rPr>
          <w:color w:val="000000"/>
          <w:sz w:val="20"/>
          <w:szCs w:val="20"/>
          <w:lang w:val="en-GB"/>
        </w:rPr>
      </w:pPr>
      <w:r>
        <w:rPr>
          <w:color w:val="000000"/>
          <w:sz w:val="20"/>
          <w:szCs w:val="20"/>
          <w:lang w:val="en-GB"/>
        </w:rPr>
        <w:t>The network is supposed to configure two target TCI states based on UE group-based beam reporting, and the network will only configure TCI states that the UE supports. If this is the case, no further action is needed in RAN4.</w:t>
      </w:r>
    </w:p>
    <w:p w14:paraId="7FDF95BB" w14:textId="77777777" w:rsidR="0093011A" w:rsidRPr="00BC18F8" w:rsidRDefault="0093011A" w:rsidP="0093011A">
      <w:pPr>
        <w:pStyle w:val="ListParagraph"/>
        <w:numPr>
          <w:ilvl w:val="0"/>
          <w:numId w:val="50"/>
        </w:numPr>
        <w:rPr>
          <w:color w:val="000000"/>
          <w:sz w:val="20"/>
          <w:szCs w:val="20"/>
          <w:lang w:val="en-GB"/>
        </w:rPr>
      </w:pPr>
      <w:r>
        <w:rPr>
          <w:color w:val="000000"/>
          <w:sz w:val="20"/>
          <w:szCs w:val="20"/>
          <w:lang w:val="en-GB"/>
        </w:rPr>
        <w:t xml:space="preserve">If the network cannot ensure that the two configured TCI states are always supported by the UE, what is the UE </w:t>
      </w:r>
      <w:proofErr w:type="spellStart"/>
      <w:r>
        <w:rPr>
          <w:color w:val="000000"/>
          <w:sz w:val="20"/>
          <w:szCs w:val="20"/>
          <w:lang w:val="en-GB"/>
        </w:rPr>
        <w:t>behavior</w:t>
      </w:r>
      <w:proofErr w:type="spellEnd"/>
      <w:r>
        <w:rPr>
          <w:color w:val="000000"/>
          <w:sz w:val="20"/>
          <w:szCs w:val="20"/>
          <w:lang w:val="en-GB"/>
        </w:rPr>
        <w:t xml:space="preserve">? Should the UE inform the network it does not support the two configured TCI </w:t>
      </w:r>
      <w:proofErr w:type="gramStart"/>
      <w:r>
        <w:rPr>
          <w:color w:val="000000"/>
          <w:sz w:val="20"/>
          <w:szCs w:val="20"/>
          <w:lang w:val="en-GB"/>
        </w:rPr>
        <w:t>states</w:t>
      </w:r>
      <w:proofErr w:type="gramEnd"/>
      <w:r>
        <w:rPr>
          <w:color w:val="000000"/>
          <w:sz w:val="20"/>
          <w:szCs w:val="20"/>
          <w:lang w:val="en-GB"/>
        </w:rPr>
        <w:t xml:space="preserve"> or it takes no action and let the TCI state switching fail?</w:t>
      </w:r>
    </w:p>
    <w:p w14:paraId="3F8032D3" w14:textId="77777777" w:rsidR="0093011A" w:rsidRDefault="0093011A" w:rsidP="0093011A">
      <w:pPr>
        <w:rPr>
          <w:color w:val="000000"/>
          <w:sz w:val="20"/>
          <w:szCs w:val="20"/>
          <w:lang w:val="en-GB"/>
        </w:rPr>
      </w:pPr>
    </w:p>
    <w:p w14:paraId="342AA74A" w14:textId="1AFB6F75" w:rsidR="0093011A" w:rsidRPr="001E7A2A" w:rsidRDefault="0093011A" w:rsidP="0093011A">
      <w:pPr>
        <w:rPr>
          <w:color w:val="000000"/>
          <w:sz w:val="20"/>
          <w:szCs w:val="20"/>
          <w:lang w:val="en-GB"/>
        </w:rPr>
      </w:pPr>
      <w:r>
        <w:rPr>
          <w:b/>
          <w:bCs/>
          <w:i/>
          <w:iCs/>
          <w:sz w:val="20"/>
          <w:szCs w:val="20"/>
        </w:rPr>
        <w:lastRenderedPageBreak/>
        <w:t>Proposal 6</w:t>
      </w:r>
      <w:r w:rsidRPr="004E0E90">
        <w:rPr>
          <w:b/>
          <w:bCs/>
          <w:i/>
          <w:iCs/>
          <w:sz w:val="20"/>
          <w:szCs w:val="20"/>
        </w:rPr>
        <w:t xml:space="preserve">: </w:t>
      </w:r>
      <w:r>
        <w:rPr>
          <w:b/>
          <w:bCs/>
          <w:i/>
          <w:iCs/>
          <w:sz w:val="20"/>
          <w:szCs w:val="20"/>
        </w:rPr>
        <w:t xml:space="preserve">It is proposed to discuss and decide </w:t>
      </w:r>
      <w:r w:rsidRPr="00244A1B">
        <w:rPr>
          <w:b/>
          <w:bCs/>
          <w:i/>
          <w:iCs/>
          <w:sz w:val="20"/>
          <w:szCs w:val="20"/>
        </w:rPr>
        <w:t>UE behavior in case the UE does not support the two configured target TCI states</w:t>
      </w:r>
      <w:r>
        <w:rPr>
          <w:b/>
          <w:bCs/>
          <w:i/>
          <w:iCs/>
          <w:sz w:val="20"/>
          <w:szCs w:val="20"/>
        </w:rPr>
        <w:t xml:space="preserve"> </w:t>
      </w:r>
      <w:r w:rsidRPr="0023723C">
        <w:rPr>
          <w:b/>
          <w:bCs/>
          <w:i/>
          <w:iCs/>
          <w:sz w:val="20"/>
          <w:szCs w:val="20"/>
        </w:rPr>
        <w:t>simultaneously</w:t>
      </w:r>
      <w:r>
        <w:rPr>
          <w:b/>
          <w:bCs/>
          <w:i/>
          <w:iCs/>
          <w:sz w:val="20"/>
          <w:szCs w:val="20"/>
        </w:rPr>
        <w:t>.</w:t>
      </w:r>
    </w:p>
    <w:p w14:paraId="59DDE12B" w14:textId="77777777" w:rsidR="00E55151" w:rsidRPr="00E55151" w:rsidRDefault="00E55151" w:rsidP="00C163A6">
      <w:pPr>
        <w:rPr>
          <w:color w:val="000000"/>
          <w:sz w:val="20"/>
          <w:szCs w:val="20"/>
          <w:lang w:val="en-GB"/>
        </w:rPr>
      </w:pPr>
    </w:p>
    <w:p w14:paraId="34C99636" w14:textId="77777777" w:rsidR="008E7986" w:rsidRDefault="008E7986" w:rsidP="008E7986">
      <w:pPr>
        <w:pStyle w:val="Heading1"/>
      </w:pPr>
      <w:r>
        <w:t>3</w:t>
      </w:r>
      <w:r>
        <w:tab/>
        <w:t>Conclusions</w:t>
      </w:r>
    </w:p>
    <w:p w14:paraId="6F3027FC" w14:textId="21C20307" w:rsidR="00300BA9" w:rsidRDefault="00B61EEA" w:rsidP="00300BA9">
      <w:pPr>
        <w:rPr>
          <w:sz w:val="20"/>
          <w:szCs w:val="20"/>
        </w:rPr>
      </w:pPr>
      <w:r w:rsidRPr="00384F83">
        <w:rPr>
          <w:sz w:val="20"/>
          <w:szCs w:val="20"/>
        </w:rPr>
        <w:t>In this contribution</w:t>
      </w:r>
      <w:r>
        <w:rPr>
          <w:sz w:val="20"/>
          <w:szCs w:val="20"/>
        </w:rPr>
        <w:t xml:space="preserve">, </w:t>
      </w:r>
      <w:r w:rsidR="00A91EAD">
        <w:rPr>
          <w:sz w:val="20"/>
          <w:szCs w:val="20"/>
        </w:rPr>
        <w:t xml:space="preserve">we </w:t>
      </w:r>
      <w:r w:rsidR="00AF76EA">
        <w:rPr>
          <w:sz w:val="20"/>
          <w:szCs w:val="20"/>
        </w:rPr>
        <w:t xml:space="preserve">make </w:t>
      </w:r>
      <w:r w:rsidR="00A91EAD">
        <w:rPr>
          <w:sz w:val="20"/>
          <w:szCs w:val="20"/>
        </w:rPr>
        <w:t>the following proposal</w:t>
      </w:r>
      <w:r w:rsidR="00F61745">
        <w:rPr>
          <w:sz w:val="20"/>
          <w:szCs w:val="20"/>
        </w:rPr>
        <w:t>s</w:t>
      </w:r>
      <w:r w:rsidR="00A91EAD">
        <w:rPr>
          <w:sz w:val="20"/>
          <w:szCs w:val="20"/>
        </w:rPr>
        <w:t>.</w:t>
      </w:r>
    </w:p>
    <w:p w14:paraId="2E81B871" w14:textId="77777777" w:rsidR="006A7B92" w:rsidRDefault="006A7B92" w:rsidP="006A7B92">
      <w:pPr>
        <w:spacing w:before="100" w:beforeAutospacing="1" w:after="100"/>
        <w:rPr>
          <w:b/>
          <w:bCs/>
          <w:i/>
          <w:iCs/>
          <w:sz w:val="20"/>
          <w:szCs w:val="20"/>
        </w:rPr>
      </w:pPr>
      <w:r>
        <w:rPr>
          <w:b/>
          <w:bCs/>
          <w:i/>
          <w:iCs/>
          <w:sz w:val="20"/>
          <w:szCs w:val="20"/>
        </w:rPr>
        <w:t xml:space="preserve">Proposal </w:t>
      </w:r>
      <w:r w:rsidRPr="004E0E90">
        <w:rPr>
          <w:b/>
          <w:bCs/>
          <w:i/>
          <w:iCs/>
          <w:sz w:val="20"/>
          <w:szCs w:val="20"/>
        </w:rPr>
        <w:t xml:space="preserve">1: </w:t>
      </w:r>
      <w:r>
        <w:rPr>
          <w:b/>
          <w:bCs/>
          <w:i/>
          <w:iCs/>
          <w:sz w:val="20"/>
          <w:szCs w:val="20"/>
        </w:rPr>
        <w:t>RAN4 can seek RAN1 confirmation of the agreement by sending an LS.</w:t>
      </w:r>
    </w:p>
    <w:p w14:paraId="6EA1DC2F" w14:textId="5288DCAD" w:rsidR="006A7B92" w:rsidRDefault="006A7B92" w:rsidP="006A7B92">
      <w:pPr>
        <w:spacing w:before="100" w:beforeAutospacing="1" w:after="100"/>
        <w:rPr>
          <w:b/>
          <w:bCs/>
          <w:i/>
          <w:iCs/>
          <w:sz w:val="20"/>
          <w:szCs w:val="20"/>
        </w:rPr>
      </w:pPr>
      <w:r>
        <w:rPr>
          <w:b/>
          <w:bCs/>
          <w:i/>
          <w:iCs/>
          <w:sz w:val="20"/>
          <w:szCs w:val="20"/>
        </w:rPr>
        <w:t>Proposal 2</w:t>
      </w:r>
      <w:r w:rsidRPr="004E0E90">
        <w:rPr>
          <w:b/>
          <w:bCs/>
          <w:i/>
          <w:iCs/>
          <w:sz w:val="20"/>
          <w:szCs w:val="20"/>
        </w:rPr>
        <w:t xml:space="preserve">: </w:t>
      </w:r>
      <w:r>
        <w:rPr>
          <w:b/>
          <w:bCs/>
          <w:i/>
          <w:iCs/>
          <w:sz w:val="20"/>
          <w:szCs w:val="20"/>
        </w:rPr>
        <w:t>The case “</w:t>
      </w:r>
      <w:r w:rsidRPr="00884853">
        <w:rPr>
          <w:b/>
          <w:bCs/>
          <w:i/>
          <w:iCs/>
          <w:sz w:val="20"/>
          <w:szCs w:val="20"/>
        </w:rPr>
        <w:t>Dual TCI to Single TCI</w:t>
      </w:r>
      <w:r>
        <w:rPr>
          <w:b/>
          <w:bCs/>
          <w:i/>
          <w:iCs/>
          <w:sz w:val="20"/>
          <w:szCs w:val="20"/>
        </w:rPr>
        <w:t xml:space="preserve">” needs to be considered if the target single TCI is a new state, i.e., </w:t>
      </w:r>
      <w:r w:rsidRPr="00884853">
        <w:rPr>
          <w:b/>
          <w:bCs/>
          <w:i/>
          <w:iCs/>
          <w:sz w:val="20"/>
          <w:szCs w:val="20"/>
        </w:rPr>
        <w:t>not either of the two TCIs before switching</w:t>
      </w:r>
      <w:r>
        <w:rPr>
          <w:b/>
          <w:bCs/>
          <w:i/>
          <w:iCs/>
          <w:sz w:val="20"/>
          <w:szCs w:val="20"/>
        </w:rPr>
        <w:t>.</w:t>
      </w:r>
    </w:p>
    <w:p w14:paraId="04BB5002" w14:textId="77777777" w:rsidR="006A7B92" w:rsidRPr="00724E0C" w:rsidRDefault="006A7B92" w:rsidP="006A7B92">
      <w:pPr>
        <w:spacing w:before="100" w:beforeAutospacing="1" w:after="100"/>
        <w:rPr>
          <w:b/>
          <w:bCs/>
          <w:i/>
          <w:iCs/>
          <w:sz w:val="20"/>
          <w:szCs w:val="20"/>
        </w:rPr>
      </w:pPr>
      <w:r>
        <w:rPr>
          <w:b/>
          <w:bCs/>
          <w:i/>
          <w:iCs/>
          <w:sz w:val="20"/>
          <w:szCs w:val="20"/>
        </w:rPr>
        <w:t>Proposal 3</w:t>
      </w:r>
      <w:r w:rsidRPr="004E0E90">
        <w:rPr>
          <w:b/>
          <w:bCs/>
          <w:i/>
          <w:iCs/>
          <w:sz w:val="20"/>
          <w:szCs w:val="20"/>
        </w:rPr>
        <w:t xml:space="preserve">: </w:t>
      </w:r>
      <w:r>
        <w:rPr>
          <w:b/>
          <w:bCs/>
          <w:i/>
          <w:iCs/>
          <w:sz w:val="20"/>
          <w:szCs w:val="20"/>
        </w:rPr>
        <w:t>RAN4 should investigate if there are implementation constraints in dual TCI switching and if so, whether to allow some additional delay.</w:t>
      </w:r>
    </w:p>
    <w:p w14:paraId="7851AD92" w14:textId="77777777" w:rsidR="006A7B92" w:rsidRPr="00591E7E" w:rsidRDefault="006A7B92" w:rsidP="006A7B92">
      <w:pPr>
        <w:spacing w:before="100" w:beforeAutospacing="1" w:after="100"/>
        <w:rPr>
          <w:b/>
          <w:bCs/>
          <w:i/>
          <w:iCs/>
          <w:sz w:val="20"/>
          <w:szCs w:val="20"/>
        </w:rPr>
      </w:pPr>
      <w:r>
        <w:rPr>
          <w:b/>
          <w:bCs/>
          <w:i/>
          <w:iCs/>
          <w:sz w:val="20"/>
          <w:szCs w:val="20"/>
        </w:rPr>
        <w:t>Proposal 4</w:t>
      </w:r>
      <w:r w:rsidRPr="004E0E90">
        <w:rPr>
          <w:b/>
          <w:bCs/>
          <w:i/>
          <w:iCs/>
          <w:sz w:val="20"/>
          <w:szCs w:val="20"/>
        </w:rPr>
        <w:t xml:space="preserve">: </w:t>
      </w:r>
      <w:r>
        <w:rPr>
          <w:b/>
          <w:bCs/>
          <w:i/>
          <w:iCs/>
          <w:sz w:val="20"/>
          <w:szCs w:val="20"/>
        </w:rPr>
        <w:t>All three options (A, B, and C) should be considered.</w:t>
      </w:r>
    </w:p>
    <w:p w14:paraId="472B1384" w14:textId="77777777" w:rsidR="006A7B92" w:rsidRDefault="006A7B92" w:rsidP="006A7B92">
      <w:pPr>
        <w:rPr>
          <w:b/>
          <w:bCs/>
          <w:i/>
          <w:iCs/>
          <w:sz w:val="20"/>
          <w:szCs w:val="20"/>
        </w:rPr>
      </w:pPr>
      <w:r>
        <w:rPr>
          <w:b/>
          <w:bCs/>
          <w:i/>
          <w:iCs/>
          <w:sz w:val="20"/>
          <w:szCs w:val="20"/>
        </w:rPr>
        <w:t>Proposal 5</w:t>
      </w:r>
      <w:r w:rsidRPr="004E0E90">
        <w:rPr>
          <w:b/>
          <w:bCs/>
          <w:i/>
          <w:iCs/>
          <w:sz w:val="20"/>
          <w:szCs w:val="20"/>
        </w:rPr>
        <w:t xml:space="preserve">: </w:t>
      </w:r>
      <w:r>
        <w:rPr>
          <w:b/>
          <w:bCs/>
          <w:i/>
          <w:iCs/>
          <w:sz w:val="20"/>
          <w:szCs w:val="20"/>
        </w:rPr>
        <w:t>For dual TCI state switching, it is proposed:</w:t>
      </w:r>
    </w:p>
    <w:p w14:paraId="5A988019" w14:textId="77777777" w:rsidR="006A7B92" w:rsidRPr="006C0730" w:rsidRDefault="006A7B92" w:rsidP="006A7B92">
      <w:pPr>
        <w:pStyle w:val="ListParagraph"/>
        <w:numPr>
          <w:ilvl w:val="0"/>
          <w:numId w:val="49"/>
        </w:numPr>
        <w:rPr>
          <w:color w:val="000000"/>
          <w:sz w:val="20"/>
          <w:szCs w:val="20"/>
          <w:lang w:val="en-GB"/>
        </w:rPr>
      </w:pPr>
      <w:r w:rsidRPr="006C0730">
        <w:rPr>
          <w:b/>
          <w:bCs/>
          <w:i/>
          <w:iCs/>
          <w:sz w:val="20"/>
          <w:szCs w:val="20"/>
        </w:rPr>
        <w:t xml:space="preserve">For the (known, known) and (unknown, unknown) combinations, the legacy TCI state switching delay is expected to be reused, subject to further investigation of Proposal </w:t>
      </w:r>
      <w:r>
        <w:rPr>
          <w:b/>
          <w:bCs/>
          <w:i/>
          <w:iCs/>
          <w:sz w:val="20"/>
          <w:szCs w:val="20"/>
        </w:rPr>
        <w:t>3</w:t>
      </w:r>
      <w:r w:rsidRPr="006C0730">
        <w:rPr>
          <w:b/>
          <w:bCs/>
          <w:i/>
          <w:iCs/>
          <w:sz w:val="20"/>
          <w:szCs w:val="20"/>
        </w:rPr>
        <w:t>.</w:t>
      </w:r>
    </w:p>
    <w:p w14:paraId="2777346C" w14:textId="77777777" w:rsidR="006A7B92" w:rsidRPr="006C0730" w:rsidRDefault="006A7B92" w:rsidP="006A7B92">
      <w:pPr>
        <w:pStyle w:val="ListParagraph"/>
        <w:numPr>
          <w:ilvl w:val="0"/>
          <w:numId w:val="49"/>
        </w:numPr>
        <w:rPr>
          <w:color w:val="000000"/>
          <w:sz w:val="20"/>
          <w:szCs w:val="20"/>
        </w:rPr>
      </w:pPr>
      <w:r w:rsidRPr="006C0730">
        <w:rPr>
          <w:b/>
          <w:bCs/>
          <w:i/>
          <w:iCs/>
          <w:sz w:val="20"/>
          <w:szCs w:val="20"/>
        </w:rPr>
        <w:t>For the (known, unknown) combination, the legacy TCI state switching delay can be further reduced.</w:t>
      </w:r>
    </w:p>
    <w:p w14:paraId="7CE22B74" w14:textId="77777777" w:rsidR="00840D0A" w:rsidRDefault="00840D0A" w:rsidP="006A7B92">
      <w:pPr>
        <w:rPr>
          <w:b/>
          <w:bCs/>
          <w:i/>
          <w:iCs/>
          <w:sz w:val="20"/>
          <w:szCs w:val="20"/>
        </w:rPr>
      </w:pPr>
    </w:p>
    <w:p w14:paraId="6786BE60" w14:textId="0BA9EC71" w:rsidR="006A7B92" w:rsidRPr="00840D0A" w:rsidRDefault="006A7B92" w:rsidP="00840D0A">
      <w:pPr>
        <w:rPr>
          <w:color w:val="000000"/>
          <w:sz w:val="20"/>
          <w:szCs w:val="20"/>
          <w:lang w:val="en-GB"/>
        </w:rPr>
      </w:pPr>
      <w:r w:rsidRPr="006A7B92">
        <w:rPr>
          <w:b/>
          <w:bCs/>
          <w:i/>
          <w:iCs/>
          <w:sz w:val="20"/>
          <w:szCs w:val="20"/>
        </w:rPr>
        <w:t>Proposal 6: It is proposed to discuss and decide UE behavior in case the UE does not support the two configured target TCI states simultaneously.</w:t>
      </w:r>
    </w:p>
    <w:p w14:paraId="4D133CD8" w14:textId="4D8B9443" w:rsidR="00276EE4" w:rsidRPr="003A0483" w:rsidRDefault="005E69AE" w:rsidP="00BC4103">
      <w:pPr>
        <w:pStyle w:val="Heading1"/>
      </w:pPr>
      <w:r>
        <w:t>4</w:t>
      </w:r>
      <w:r>
        <w:tab/>
        <w:t>References</w:t>
      </w:r>
    </w:p>
    <w:p w14:paraId="50A569BD" w14:textId="0EE41A92" w:rsidR="00BC4103" w:rsidRDefault="00995869" w:rsidP="00F36DC7">
      <w:pPr>
        <w:pStyle w:val="EX"/>
        <w:rPr>
          <w:sz w:val="20"/>
          <w:szCs w:val="20"/>
        </w:rPr>
      </w:pPr>
      <w:bookmarkStart w:id="3" w:name="_Ref13820109"/>
      <w:r w:rsidRPr="00F64730">
        <w:rPr>
          <w:sz w:val="20"/>
          <w:szCs w:val="20"/>
        </w:rPr>
        <w:t>R</w:t>
      </w:r>
      <w:r w:rsidR="00805370">
        <w:rPr>
          <w:sz w:val="20"/>
          <w:szCs w:val="20"/>
        </w:rPr>
        <w:t>4</w:t>
      </w:r>
      <w:r w:rsidRPr="00F64730">
        <w:rPr>
          <w:sz w:val="20"/>
          <w:szCs w:val="20"/>
        </w:rPr>
        <w:t>-22</w:t>
      </w:r>
      <w:r w:rsidR="00BB372C">
        <w:rPr>
          <w:sz w:val="20"/>
          <w:szCs w:val="20"/>
        </w:rPr>
        <w:t>20402</w:t>
      </w:r>
      <w:r w:rsidRPr="00D857BA">
        <w:rPr>
          <w:sz w:val="20"/>
          <w:szCs w:val="20"/>
        </w:rPr>
        <w:t>, "</w:t>
      </w:r>
      <w:r w:rsidR="00BB372C" w:rsidRPr="00BB372C">
        <w:t xml:space="preserve"> </w:t>
      </w:r>
      <w:r w:rsidR="00BB372C" w:rsidRPr="00BB372C">
        <w:rPr>
          <w:sz w:val="20"/>
          <w:szCs w:val="20"/>
        </w:rPr>
        <w:t>WF for FR2_multiRx_RRM_part3</w:t>
      </w:r>
      <w:r w:rsidR="00805370">
        <w:rPr>
          <w:sz w:val="20"/>
          <w:szCs w:val="20"/>
        </w:rPr>
        <w:t>,</w:t>
      </w:r>
      <w:r w:rsidRPr="00D857BA">
        <w:rPr>
          <w:sz w:val="20"/>
          <w:szCs w:val="20"/>
        </w:rPr>
        <w:t xml:space="preserve">" </w:t>
      </w:r>
      <w:bookmarkEnd w:id="0"/>
      <w:bookmarkEnd w:id="3"/>
      <w:r w:rsidR="00BB372C">
        <w:rPr>
          <w:sz w:val="20"/>
          <w:szCs w:val="20"/>
        </w:rPr>
        <w:t>Moderator (</w:t>
      </w:r>
      <w:r w:rsidR="00186EF5">
        <w:rPr>
          <w:sz w:val="20"/>
          <w:szCs w:val="20"/>
        </w:rPr>
        <w:t>Ericsson</w:t>
      </w:r>
      <w:r w:rsidR="00BB372C">
        <w:rPr>
          <w:sz w:val="20"/>
          <w:szCs w:val="20"/>
        </w:rPr>
        <w:t>)</w:t>
      </w:r>
    </w:p>
    <w:p w14:paraId="5FDC0324" w14:textId="3373B8DE" w:rsidR="00D67845" w:rsidRPr="001A3AAC" w:rsidRDefault="00D67845" w:rsidP="001A3AAC">
      <w:pPr>
        <w:pStyle w:val="EX"/>
        <w:rPr>
          <w:sz w:val="20"/>
          <w:szCs w:val="20"/>
        </w:rPr>
      </w:pPr>
      <w:r w:rsidRPr="00D67845">
        <w:rPr>
          <w:sz w:val="20"/>
          <w:szCs w:val="20"/>
        </w:rPr>
        <w:t>R4-2217248, "WF on TCI state switching in multi-Rx chain DL reception," Ericsson</w:t>
      </w:r>
    </w:p>
    <w:p w14:paraId="37ACD691" w14:textId="77777777" w:rsidR="009C49E3" w:rsidRPr="00F36DC7" w:rsidRDefault="009C49E3" w:rsidP="009C49E3">
      <w:pPr>
        <w:pStyle w:val="EX"/>
        <w:numPr>
          <w:ilvl w:val="0"/>
          <w:numId w:val="0"/>
        </w:numPr>
        <w:ind w:left="369"/>
        <w:rPr>
          <w:sz w:val="20"/>
          <w:szCs w:val="20"/>
        </w:rPr>
      </w:pPr>
    </w:p>
    <w:sectPr w:rsidR="009C49E3" w:rsidRPr="00F36DC7" w:rsidSect="00114E2C">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C4616B" w14:textId="77777777" w:rsidR="00E45EDF" w:rsidRDefault="00E45EDF">
      <w:r>
        <w:separator/>
      </w:r>
    </w:p>
  </w:endnote>
  <w:endnote w:type="continuationSeparator" w:id="0">
    <w:p w14:paraId="3A69E184" w14:textId="77777777" w:rsidR="00E45EDF" w:rsidRDefault="00E45E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F61D18" w14:textId="77777777" w:rsidR="00F64097" w:rsidRDefault="00F6409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45454F" w14:textId="77777777" w:rsidR="00F64097" w:rsidRDefault="00F6409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F935B2" w14:textId="77777777" w:rsidR="00F64097" w:rsidRDefault="00F6409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E79C58" w14:textId="77777777" w:rsidR="00E45EDF" w:rsidRDefault="00E45EDF">
      <w:r>
        <w:separator/>
      </w:r>
    </w:p>
  </w:footnote>
  <w:footnote w:type="continuationSeparator" w:id="0">
    <w:p w14:paraId="5E778445" w14:textId="77777777" w:rsidR="00E45EDF" w:rsidRDefault="00E45E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80D585" w14:textId="77777777" w:rsidR="00F64097" w:rsidRDefault="00F640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1F882C" w14:textId="77777777" w:rsidR="00F64097" w:rsidRDefault="00F640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0B2776"/>
    <w:multiLevelType w:val="hybridMultilevel"/>
    <w:tmpl w:val="266ECA5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B125437"/>
    <w:multiLevelType w:val="hybridMultilevel"/>
    <w:tmpl w:val="32DA1E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03D2167"/>
    <w:multiLevelType w:val="hybridMultilevel"/>
    <w:tmpl w:val="C9AA2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F31631"/>
    <w:multiLevelType w:val="hybridMultilevel"/>
    <w:tmpl w:val="32122DF6"/>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9" w15:restartNumberingAfterBreak="0">
    <w:nsid w:val="1E0858D1"/>
    <w:multiLevelType w:val="hybridMultilevel"/>
    <w:tmpl w:val="3BC6AB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F93623"/>
    <w:multiLevelType w:val="multilevel"/>
    <w:tmpl w:val="2E90C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13A6E1D"/>
    <w:multiLevelType w:val="hybridMultilevel"/>
    <w:tmpl w:val="03EE39A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192268C"/>
    <w:multiLevelType w:val="multilevel"/>
    <w:tmpl w:val="DFAC4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36A45FA"/>
    <w:multiLevelType w:val="hybridMultilevel"/>
    <w:tmpl w:val="729EAE8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257A74C9"/>
    <w:multiLevelType w:val="hybridMultilevel"/>
    <w:tmpl w:val="FC025F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A01248F"/>
    <w:multiLevelType w:val="hybridMultilevel"/>
    <w:tmpl w:val="DCECCF44"/>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6" w15:restartNumberingAfterBreak="0">
    <w:nsid w:val="2ECD1C8B"/>
    <w:multiLevelType w:val="hybridMultilevel"/>
    <w:tmpl w:val="8DC2E4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7E38FC"/>
    <w:multiLevelType w:val="hybridMultilevel"/>
    <w:tmpl w:val="C24C4E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05E4E56"/>
    <w:multiLevelType w:val="hybridMultilevel"/>
    <w:tmpl w:val="03EE39AE"/>
    <w:lvl w:ilvl="0" w:tplc="24F061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616282F"/>
    <w:multiLevelType w:val="hybridMultilevel"/>
    <w:tmpl w:val="1F381A3A"/>
    <w:lvl w:ilvl="0" w:tplc="07E05C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85B41E0"/>
    <w:multiLevelType w:val="hybridMultilevel"/>
    <w:tmpl w:val="AC0A772A"/>
    <w:lvl w:ilvl="0" w:tplc="47E0CFDC">
      <w:start w:val="1"/>
      <w:numFmt w:val="decimal"/>
      <w:lvlText w:val="%1"/>
      <w:lvlJc w:val="left"/>
      <w:pPr>
        <w:ind w:left="1500" w:hanging="114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978618B"/>
    <w:multiLevelType w:val="hybridMultilevel"/>
    <w:tmpl w:val="C9266C5A"/>
    <w:lvl w:ilvl="0" w:tplc="21B81AC4">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23" w15:restartNumberingAfterBreak="0">
    <w:nsid w:val="3A871017"/>
    <w:multiLevelType w:val="hybridMultilevel"/>
    <w:tmpl w:val="EA78B6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3E712F37"/>
    <w:multiLevelType w:val="hybridMultilevel"/>
    <w:tmpl w:val="D57EE0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1AC236B"/>
    <w:multiLevelType w:val="hybridMultilevel"/>
    <w:tmpl w:val="CB9E2A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2EE5A6E"/>
    <w:multiLevelType w:val="hybridMultilevel"/>
    <w:tmpl w:val="61EAB0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434037DB"/>
    <w:multiLevelType w:val="multilevel"/>
    <w:tmpl w:val="434037D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464A3562"/>
    <w:multiLevelType w:val="hybridMultilevel"/>
    <w:tmpl w:val="83340AE0"/>
    <w:lvl w:ilvl="0" w:tplc="247276F8">
      <w:start w:val="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0" w15:restartNumberingAfterBreak="0">
    <w:nsid w:val="52705335"/>
    <w:multiLevelType w:val="hybridMultilevel"/>
    <w:tmpl w:val="85D47F8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537A271A"/>
    <w:multiLevelType w:val="hybridMultilevel"/>
    <w:tmpl w:val="A9F212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52B0B38"/>
    <w:multiLevelType w:val="hybridMultilevel"/>
    <w:tmpl w:val="30A6D4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5" w15:restartNumberingAfterBreak="0">
    <w:nsid w:val="5C213A24"/>
    <w:multiLevelType w:val="hybridMultilevel"/>
    <w:tmpl w:val="7996EA2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60415742"/>
    <w:multiLevelType w:val="hybridMultilevel"/>
    <w:tmpl w:val="A19C590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7" w15:restartNumberingAfterBreak="0">
    <w:nsid w:val="64B82B01"/>
    <w:multiLevelType w:val="hybridMultilevel"/>
    <w:tmpl w:val="EC2CFE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27D07DA"/>
    <w:multiLevelType w:val="hybridMultilevel"/>
    <w:tmpl w:val="CE063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3710814"/>
    <w:multiLevelType w:val="hybridMultilevel"/>
    <w:tmpl w:val="504ABD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449714B"/>
    <w:multiLevelType w:val="hybridMultilevel"/>
    <w:tmpl w:val="435EFBF6"/>
    <w:lvl w:ilvl="0" w:tplc="7ED2C8F6">
      <w:start w:val="1"/>
      <w:numFmt w:val="lowerLetter"/>
      <w:lvlText w:val="(%1)"/>
      <w:lvlJc w:val="left"/>
      <w:pPr>
        <w:ind w:left="3060" w:hanging="360"/>
      </w:pPr>
      <w:rPr>
        <w:rFonts w:hint="default"/>
      </w:rPr>
    </w:lvl>
    <w:lvl w:ilvl="1" w:tplc="04090019" w:tentative="1">
      <w:start w:val="1"/>
      <w:numFmt w:val="lowerLetter"/>
      <w:lvlText w:val="%2."/>
      <w:lvlJc w:val="left"/>
      <w:pPr>
        <w:ind w:left="3780" w:hanging="360"/>
      </w:pPr>
    </w:lvl>
    <w:lvl w:ilvl="2" w:tplc="0409001B" w:tentative="1">
      <w:start w:val="1"/>
      <w:numFmt w:val="lowerRoman"/>
      <w:lvlText w:val="%3."/>
      <w:lvlJc w:val="right"/>
      <w:pPr>
        <w:ind w:left="4500" w:hanging="180"/>
      </w:pPr>
    </w:lvl>
    <w:lvl w:ilvl="3" w:tplc="0409000F" w:tentative="1">
      <w:start w:val="1"/>
      <w:numFmt w:val="decimal"/>
      <w:lvlText w:val="%4."/>
      <w:lvlJc w:val="left"/>
      <w:pPr>
        <w:ind w:left="5220" w:hanging="360"/>
      </w:pPr>
    </w:lvl>
    <w:lvl w:ilvl="4" w:tplc="04090019" w:tentative="1">
      <w:start w:val="1"/>
      <w:numFmt w:val="lowerLetter"/>
      <w:lvlText w:val="%5."/>
      <w:lvlJc w:val="left"/>
      <w:pPr>
        <w:ind w:left="5940" w:hanging="360"/>
      </w:pPr>
    </w:lvl>
    <w:lvl w:ilvl="5" w:tplc="0409001B" w:tentative="1">
      <w:start w:val="1"/>
      <w:numFmt w:val="lowerRoman"/>
      <w:lvlText w:val="%6."/>
      <w:lvlJc w:val="right"/>
      <w:pPr>
        <w:ind w:left="6660" w:hanging="180"/>
      </w:pPr>
    </w:lvl>
    <w:lvl w:ilvl="6" w:tplc="0409000F" w:tentative="1">
      <w:start w:val="1"/>
      <w:numFmt w:val="decimal"/>
      <w:lvlText w:val="%7."/>
      <w:lvlJc w:val="left"/>
      <w:pPr>
        <w:ind w:left="7380" w:hanging="360"/>
      </w:pPr>
    </w:lvl>
    <w:lvl w:ilvl="7" w:tplc="04090019" w:tentative="1">
      <w:start w:val="1"/>
      <w:numFmt w:val="lowerLetter"/>
      <w:lvlText w:val="%8."/>
      <w:lvlJc w:val="left"/>
      <w:pPr>
        <w:ind w:left="8100" w:hanging="360"/>
      </w:pPr>
    </w:lvl>
    <w:lvl w:ilvl="8" w:tplc="0409001B" w:tentative="1">
      <w:start w:val="1"/>
      <w:numFmt w:val="lowerRoman"/>
      <w:lvlText w:val="%9."/>
      <w:lvlJc w:val="right"/>
      <w:pPr>
        <w:ind w:left="8820" w:hanging="180"/>
      </w:pPr>
    </w:lvl>
  </w:abstractNum>
  <w:abstractNum w:abstractNumId="42" w15:restartNumberingAfterBreak="0">
    <w:nsid w:val="754825A9"/>
    <w:multiLevelType w:val="hybridMultilevel"/>
    <w:tmpl w:val="050E57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69A3736"/>
    <w:multiLevelType w:val="hybridMultilevel"/>
    <w:tmpl w:val="94A86014"/>
    <w:lvl w:ilvl="0" w:tplc="08090011">
      <w:start w:val="1"/>
      <w:numFmt w:val="decimal"/>
      <w:lvlText w:val="%1)"/>
      <w:lvlJc w:val="left"/>
      <w:pPr>
        <w:ind w:left="720" w:hanging="360"/>
      </w:pPr>
      <w:rPr>
        <w:rFont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4" w15:restartNumberingAfterBreak="0">
    <w:nsid w:val="778F6F7C"/>
    <w:multiLevelType w:val="multilevel"/>
    <w:tmpl w:val="778F6F7C"/>
    <w:lvl w:ilvl="0">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A0F701C"/>
    <w:multiLevelType w:val="hybridMultilevel"/>
    <w:tmpl w:val="408CAB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BF11F9C"/>
    <w:multiLevelType w:val="hybridMultilevel"/>
    <w:tmpl w:val="339897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FC34076"/>
    <w:multiLevelType w:val="hybridMultilevel"/>
    <w:tmpl w:val="5A5CFE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3881536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373719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29060068">
    <w:abstractNumId w:val="2"/>
  </w:num>
  <w:num w:numId="4" w16cid:durableId="671496524">
    <w:abstractNumId w:val="38"/>
  </w:num>
  <w:num w:numId="5" w16cid:durableId="1501116029">
    <w:abstractNumId w:val="3"/>
  </w:num>
  <w:num w:numId="6" w16cid:durableId="1775780724">
    <w:abstractNumId w:val="3"/>
  </w:num>
  <w:num w:numId="7" w16cid:durableId="2004430155">
    <w:abstractNumId w:val="24"/>
  </w:num>
  <w:num w:numId="8" w16cid:durableId="820000239">
    <w:abstractNumId w:val="6"/>
  </w:num>
  <w:num w:numId="9" w16cid:durableId="1418207271">
    <w:abstractNumId w:val="29"/>
  </w:num>
  <w:num w:numId="10" w16cid:durableId="1583371418">
    <w:abstractNumId w:val="36"/>
  </w:num>
  <w:num w:numId="11" w16cid:durableId="654532386">
    <w:abstractNumId w:val="15"/>
  </w:num>
  <w:num w:numId="12" w16cid:durableId="1304584639">
    <w:abstractNumId w:val="12"/>
  </w:num>
  <w:num w:numId="13" w16cid:durableId="721171787">
    <w:abstractNumId w:val="10"/>
  </w:num>
  <w:num w:numId="14" w16cid:durableId="1592349769">
    <w:abstractNumId w:val="35"/>
  </w:num>
  <w:num w:numId="15" w16cid:durableId="278998918">
    <w:abstractNumId w:val="20"/>
  </w:num>
  <w:num w:numId="16" w16cid:durableId="434713335">
    <w:abstractNumId w:val="33"/>
  </w:num>
  <w:num w:numId="17" w16cid:durableId="1786650561">
    <w:abstractNumId w:val="21"/>
  </w:num>
  <w:num w:numId="18" w16cid:durableId="119229966">
    <w:abstractNumId w:val="7"/>
  </w:num>
  <w:num w:numId="19" w16cid:durableId="773282714">
    <w:abstractNumId w:val="27"/>
  </w:num>
  <w:num w:numId="20" w16cid:durableId="1943295931">
    <w:abstractNumId w:val="1"/>
  </w:num>
  <w:num w:numId="21" w16cid:durableId="721640857">
    <w:abstractNumId w:val="43"/>
  </w:num>
  <w:num w:numId="22" w16cid:durableId="1167212164">
    <w:abstractNumId w:val="44"/>
  </w:num>
  <w:num w:numId="23" w16cid:durableId="240023206">
    <w:abstractNumId w:val="28"/>
  </w:num>
  <w:num w:numId="24" w16cid:durableId="191648044">
    <w:abstractNumId w:val="14"/>
  </w:num>
  <w:num w:numId="25" w16cid:durableId="473066965">
    <w:abstractNumId w:val="25"/>
  </w:num>
  <w:num w:numId="26" w16cid:durableId="1489638411">
    <w:abstractNumId w:val="23"/>
  </w:num>
  <w:num w:numId="27" w16cid:durableId="1422525457">
    <w:abstractNumId w:val="22"/>
  </w:num>
  <w:num w:numId="28" w16cid:durableId="653946618">
    <w:abstractNumId w:val="4"/>
  </w:num>
  <w:num w:numId="29" w16cid:durableId="1543327048">
    <w:abstractNumId w:val="46"/>
  </w:num>
  <w:num w:numId="30" w16cid:durableId="991716118">
    <w:abstractNumId w:val="16"/>
  </w:num>
  <w:num w:numId="31" w16cid:durableId="737675157">
    <w:abstractNumId w:val="18"/>
  </w:num>
  <w:num w:numId="32" w16cid:durableId="526335178">
    <w:abstractNumId w:val="11"/>
  </w:num>
  <w:num w:numId="33" w16cid:durableId="1432161911">
    <w:abstractNumId w:val="5"/>
  </w:num>
  <w:num w:numId="34" w16cid:durableId="463815305">
    <w:abstractNumId w:val="32"/>
  </w:num>
  <w:num w:numId="35" w16cid:durableId="1451046251">
    <w:abstractNumId w:val="42"/>
  </w:num>
  <w:num w:numId="36" w16cid:durableId="1500928002">
    <w:abstractNumId w:val="34"/>
  </w:num>
  <w:num w:numId="37" w16cid:durableId="481117822">
    <w:abstractNumId w:val="13"/>
  </w:num>
  <w:num w:numId="38" w16cid:durableId="1328439027">
    <w:abstractNumId w:val="37"/>
  </w:num>
  <w:num w:numId="39" w16cid:durableId="1341740826">
    <w:abstractNumId w:val="31"/>
  </w:num>
  <w:num w:numId="40" w16cid:durableId="1537429877">
    <w:abstractNumId w:val="41"/>
  </w:num>
  <w:num w:numId="41" w16cid:durableId="302203300">
    <w:abstractNumId w:val="47"/>
  </w:num>
  <w:num w:numId="42" w16cid:durableId="381712461">
    <w:abstractNumId w:val="19"/>
  </w:num>
  <w:num w:numId="43" w16cid:durableId="1108353740">
    <w:abstractNumId w:val="17"/>
  </w:num>
  <w:num w:numId="44" w16cid:durableId="912857868">
    <w:abstractNumId w:val="26"/>
  </w:num>
  <w:num w:numId="45" w16cid:durableId="1358585767">
    <w:abstractNumId w:val="30"/>
  </w:num>
  <w:num w:numId="46" w16cid:durableId="596602009">
    <w:abstractNumId w:val="39"/>
  </w:num>
  <w:num w:numId="47" w16cid:durableId="736827667">
    <w:abstractNumId w:val="9"/>
  </w:num>
  <w:num w:numId="48" w16cid:durableId="704595738">
    <w:abstractNumId w:val="40"/>
  </w:num>
  <w:num w:numId="49" w16cid:durableId="1945575566">
    <w:abstractNumId w:val="8"/>
  </w:num>
  <w:num w:numId="50" w16cid:durableId="1385643258">
    <w:abstractNumId w:val="4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displayBackgroundShape/>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93D"/>
    <w:rsid w:val="00001B86"/>
    <w:rsid w:val="00002C14"/>
    <w:rsid w:val="00003844"/>
    <w:rsid w:val="00011C66"/>
    <w:rsid w:val="000129A5"/>
    <w:rsid w:val="00012A37"/>
    <w:rsid w:val="0001496E"/>
    <w:rsid w:val="000262F6"/>
    <w:rsid w:val="00026BD3"/>
    <w:rsid w:val="00033397"/>
    <w:rsid w:val="00040095"/>
    <w:rsid w:val="000438C2"/>
    <w:rsid w:val="00046768"/>
    <w:rsid w:val="0004681A"/>
    <w:rsid w:val="00051834"/>
    <w:rsid w:val="0005477E"/>
    <w:rsid w:val="00054A22"/>
    <w:rsid w:val="00056AE1"/>
    <w:rsid w:val="00062023"/>
    <w:rsid w:val="000655A6"/>
    <w:rsid w:val="00071312"/>
    <w:rsid w:val="00077697"/>
    <w:rsid w:val="00080512"/>
    <w:rsid w:val="00083414"/>
    <w:rsid w:val="00092DEA"/>
    <w:rsid w:val="0009500A"/>
    <w:rsid w:val="00096CD8"/>
    <w:rsid w:val="000A365D"/>
    <w:rsid w:val="000A46CB"/>
    <w:rsid w:val="000A68F3"/>
    <w:rsid w:val="000B4E6A"/>
    <w:rsid w:val="000B7599"/>
    <w:rsid w:val="000C1B24"/>
    <w:rsid w:val="000C47C3"/>
    <w:rsid w:val="000C59B4"/>
    <w:rsid w:val="000C7FB6"/>
    <w:rsid w:val="000D02FD"/>
    <w:rsid w:val="000D2AB6"/>
    <w:rsid w:val="000D2C4B"/>
    <w:rsid w:val="000D58AB"/>
    <w:rsid w:val="000D7D1B"/>
    <w:rsid w:val="000E3702"/>
    <w:rsid w:val="000F032B"/>
    <w:rsid w:val="000F1D2A"/>
    <w:rsid w:val="000F3400"/>
    <w:rsid w:val="000F413D"/>
    <w:rsid w:val="000F42F7"/>
    <w:rsid w:val="000F4BE8"/>
    <w:rsid w:val="000F5499"/>
    <w:rsid w:val="000F5D71"/>
    <w:rsid w:val="001016B4"/>
    <w:rsid w:val="00101EB9"/>
    <w:rsid w:val="00104836"/>
    <w:rsid w:val="00104BC6"/>
    <w:rsid w:val="00112A20"/>
    <w:rsid w:val="00112D80"/>
    <w:rsid w:val="00114E2C"/>
    <w:rsid w:val="00123B8A"/>
    <w:rsid w:val="00126F3E"/>
    <w:rsid w:val="00133525"/>
    <w:rsid w:val="00133ED8"/>
    <w:rsid w:val="001343AB"/>
    <w:rsid w:val="00134E23"/>
    <w:rsid w:val="00152010"/>
    <w:rsid w:val="0015223A"/>
    <w:rsid w:val="0015240F"/>
    <w:rsid w:val="001529BF"/>
    <w:rsid w:val="001549F2"/>
    <w:rsid w:val="001620A7"/>
    <w:rsid w:val="00162A8A"/>
    <w:rsid w:val="00165302"/>
    <w:rsid w:val="00167A77"/>
    <w:rsid w:val="00171166"/>
    <w:rsid w:val="00180632"/>
    <w:rsid w:val="00182F98"/>
    <w:rsid w:val="00186EF5"/>
    <w:rsid w:val="0019040A"/>
    <w:rsid w:val="00191964"/>
    <w:rsid w:val="00193F04"/>
    <w:rsid w:val="001A1513"/>
    <w:rsid w:val="001A3AAC"/>
    <w:rsid w:val="001A4C42"/>
    <w:rsid w:val="001B2337"/>
    <w:rsid w:val="001C21C3"/>
    <w:rsid w:val="001C7CD8"/>
    <w:rsid w:val="001D02C2"/>
    <w:rsid w:val="001D3883"/>
    <w:rsid w:val="001D506F"/>
    <w:rsid w:val="001E2CFB"/>
    <w:rsid w:val="001E66CA"/>
    <w:rsid w:val="001E6A20"/>
    <w:rsid w:val="001E72C3"/>
    <w:rsid w:val="001E7A2A"/>
    <w:rsid w:val="001F0C1D"/>
    <w:rsid w:val="001F1132"/>
    <w:rsid w:val="001F168B"/>
    <w:rsid w:val="001F6F65"/>
    <w:rsid w:val="00200761"/>
    <w:rsid w:val="00210943"/>
    <w:rsid w:val="00211302"/>
    <w:rsid w:val="002117BB"/>
    <w:rsid w:val="00220BF3"/>
    <w:rsid w:val="00223D34"/>
    <w:rsid w:val="00223E60"/>
    <w:rsid w:val="00225E3F"/>
    <w:rsid w:val="00230C9B"/>
    <w:rsid w:val="002347A2"/>
    <w:rsid w:val="00235941"/>
    <w:rsid w:val="0023723C"/>
    <w:rsid w:val="002419B9"/>
    <w:rsid w:val="002419C4"/>
    <w:rsid w:val="00244A1B"/>
    <w:rsid w:val="00247926"/>
    <w:rsid w:val="0025067B"/>
    <w:rsid w:val="00253687"/>
    <w:rsid w:val="00254E0F"/>
    <w:rsid w:val="00255247"/>
    <w:rsid w:val="002557C8"/>
    <w:rsid w:val="002600B9"/>
    <w:rsid w:val="00261DE3"/>
    <w:rsid w:val="00262167"/>
    <w:rsid w:val="002654F1"/>
    <w:rsid w:val="002675F0"/>
    <w:rsid w:val="00276EE4"/>
    <w:rsid w:val="0027751B"/>
    <w:rsid w:val="00285890"/>
    <w:rsid w:val="002868F0"/>
    <w:rsid w:val="00287B8F"/>
    <w:rsid w:val="002935D4"/>
    <w:rsid w:val="00294DDA"/>
    <w:rsid w:val="002A5644"/>
    <w:rsid w:val="002B2D3F"/>
    <w:rsid w:val="002B378B"/>
    <w:rsid w:val="002B3DDB"/>
    <w:rsid w:val="002B6339"/>
    <w:rsid w:val="002D16F1"/>
    <w:rsid w:val="002D22D9"/>
    <w:rsid w:val="002D56F3"/>
    <w:rsid w:val="002E0086"/>
    <w:rsid w:val="002E00EE"/>
    <w:rsid w:val="002E1F9D"/>
    <w:rsid w:val="002F0E0C"/>
    <w:rsid w:val="002F21F4"/>
    <w:rsid w:val="002F5216"/>
    <w:rsid w:val="00300ACF"/>
    <w:rsid w:val="00300BA9"/>
    <w:rsid w:val="00301868"/>
    <w:rsid w:val="00303F37"/>
    <w:rsid w:val="00307031"/>
    <w:rsid w:val="00313A57"/>
    <w:rsid w:val="00315B08"/>
    <w:rsid w:val="003172DC"/>
    <w:rsid w:val="003242B5"/>
    <w:rsid w:val="003267D7"/>
    <w:rsid w:val="003348D2"/>
    <w:rsid w:val="003358E2"/>
    <w:rsid w:val="0033606D"/>
    <w:rsid w:val="00336438"/>
    <w:rsid w:val="003378AE"/>
    <w:rsid w:val="00337B72"/>
    <w:rsid w:val="003402C9"/>
    <w:rsid w:val="0034052F"/>
    <w:rsid w:val="00340CDF"/>
    <w:rsid w:val="0034273B"/>
    <w:rsid w:val="00345425"/>
    <w:rsid w:val="0034735C"/>
    <w:rsid w:val="00350433"/>
    <w:rsid w:val="003523D8"/>
    <w:rsid w:val="00352816"/>
    <w:rsid w:val="00353C63"/>
    <w:rsid w:val="0035462D"/>
    <w:rsid w:val="00357075"/>
    <w:rsid w:val="00361D93"/>
    <w:rsid w:val="00363C61"/>
    <w:rsid w:val="003650C3"/>
    <w:rsid w:val="0036620E"/>
    <w:rsid w:val="003671B1"/>
    <w:rsid w:val="00370A9A"/>
    <w:rsid w:val="00371558"/>
    <w:rsid w:val="0037264F"/>
    <w:rsid w:val="003736FD"/>
    <w:rsid w:val="003744F9"/>
    <w:rsid w:val="003765B8"/>
    <w:rsid w:val="003844E2"/>
    <w:rsid w:val="00384F83"/>
    <w:rsid w:val="00392BEA"/>
    <w:rsid w:val="003A0483"/>
    <w:rsid w:val="003A706D"/>
    <w:rsid w:val="003B0393"/>
    <w:rsid w:val="003B4652"/>
    <w:rsid w:val="003C3971"/>
    <w:rsid w:val="003C4D69"/>
    <w:rsid w:val="003C561B"/>
    <w:rsid w:val="003D37E2"/>
    <w:rsid w:val="003D4522"/>
    <w:rsid w:val="003E2C78"/>
    <w:rsid w:val="003E70FA"/>
    <w:rsid w:val="003E7753"/>
    <w:rsid w:val="003F07E3"/>
    <w:rsid w:val="003F5675"/>
    <w:rsid w:val="003F6793"/>
    <w:rsid w:val="00400308"/>
    <w:rsid w:val="0040110C"/>
    <w:rsid w:val="00406636"/>
    <w:rsid w:val="0041089F"/>
    <w:rsid w:val="00412687"/>
    <w:rsid w:val="004231E2"/>
    <w:rsid w:val="00423334"/>
    <w:rsid w:val="00424397"/>
    <w:rsid w:val="0042668D"/>
    <w:rsid w:val="00430001"/>
    <w:rsid w:val="004345EC"/>
    <w:rsid w:val="00435B44"/>
    <w:rsid w:val="004406A5"/>
    <w:rsid w:val="00442E80"/>
    <w:rsid w:val="00443B1F"/>
    <w:rsid w:val="00445952"/>
    <w:rsid w:val="00447B7C"/>
    <w:rsid w:val="00447E12"/>
    <w:rsid w:val="0045245B"/>
    <w:rsid w:val="00472C04"/>
    <w:rsid w:val="004735B3"/>
    <w:rsid w:val="0048182A"/>
    <w:rsid w:val="004826A9"/>
    <w:rsid w:val="004837BD"/>
    <w:rsid w:val="00494804"/>
    <w:rsid w:val="004A603D"/>
    <w:rsid w:val="004A6B02"/>
    <w:rsid w:val="004B0ECB"/>
    <w:rsid w:val="004C1601"/>
    <w:rsid w:val="004C21DF"/>
    <w:rsid w:val="004C5265"/>
    <w:rsid w:val="004C554E"/>
    <w:rsid w:val="004D3578"/>
    <w:rsid w:val="004D7E14"/>
    <w:rsid w:val="004E0E90"/>
    <w:rsid w:val="004E213A"/>
    <w:rsid w:val="004E39A2"/>
    <w:rsid w:val="004E3C97"/>
    <w:rsid w:val="004E7F50"/>
    <w:rsid w:val="004F07FD"/>
    <w:rsid w:val="004F0988"/>
    <w:rsid w:val="004F279C"/>
    <w:rsid w:val="004F3340"/>
    <w:rsid w:val="004F3E3D"/>
    <w:rsid w:val="004F46DD"/>
    <w:rsid w:val="004F6220"/>
    <w:rsid w:val="00503000"/>
    <w:rsid w:val="005032A8"/>
    <w:rsid w:val="005037D3"/>
    <w:rsid w:val="00506787"/>
    <w:rsid w:val="0051004D"/>
    <w:rsid w:val="005157F0"/>
    <w:rsid w:val="00520120"/>
    <w:rsid w:val="005204B4"/>
    <w:rsid w:val="005208B7"/>
    <w:rsid w:val="0052244D"/>
    <w:rsid w:val="005273BE"/>
    <w:rsid w:val="005324C2"/>
    <w:rsid w:val="0053388B"/>
    <w:rsid w:val="00535773"/>
    <w:rsid w:val="00537C54"/>
    <w:rsid w:val="00542052"/>
    <w:rsid w:val="00543E6C"/>
    <w:rsid w:val="00551342"/>
    <w:rsid w:val="00554CE1"/>
    <w:rsid w:val="00555534"/>
    <w:rsid w:val="0056039A"/>
    <w:rsid w:val="0056116C"/>
    <w:rsid w:val="00562380"/>
    <w:rsid w:val="00562844"/>
    <w:rsid w:val="00564A23"/>
    <w:rsid w:val="00565087"/>
    <w:rsid w:val="0057261C"/>
    <w:rsid w:val="00572E14"/>
    <w:rsid w:val="00582450"/>
    <w:rsid w:val="00591E7E"/>
    <w:rsid w:val="005930E6"/>
    <w:rsid w:val="00596172"/>
    <w:rsid w:val="005973BE"/>
    <w:rsid w:val="005A5986"/>
    <w:rsid w:val="005B1F1B"/>
    <w:rsid w:val="005B365D"/>
    <w:rsid w:val="005B3CCF"/>
    <w:rsid w:val="005B6DD9"/>
    <w:rsid w:val="005C2A4F"/>
    <w:rsid w:val="005C4000"/>
    <w:rsid w:val="005C422A"/>
    <w:rsid w:val="005D0DD2"/>
    <w:rsid w:val="005D2E01"/>
    <w:rsid w:val="005D67FC"/>
    <w:rsid w:val="005D7526"/>
    <w:rsid w:val="005D78A9"/>
    <w:rsid w:val="005E683B"/>
    <w:rsid w:val="005E69AE"/>
    <w:rsid w:val="005F4B4C"/>
    <w:rsid w:val="005F4CDD"/>
    <w:rsid w:val="005F5B2B"/>
    <w:rsid w:val="005F6269"/>
    <w:rsid w:val="00602AEA"/>
    <w:rsid w:val="00607E3C"/>
    <w:rsid w:val="00614FDF"/>
    <w:rsid w:val="0061775C"/>
    <w:rsid w:val="00617ED4"/>
    <w:rsid w:val="00623C82"/>
    <w:rsid w:val="006246A7"/>
    <w:rsid w:val="0062595A"/>
    <w:rsid w:val="00632B45"/>
    <w:rsid w:val="006343D6"/>
    <w:rsid w:val="0063543D"/>
    <w:rsid w:val="00640CF9"/>
    <w:rsid w:val="006459B5"/>
    <w:rsid w:val="00647114"/>
    <w:rsid w:val="0065563F"/>
    <w:rsid w:val="00662A4B"/>
    <w:rsid w:val="0066731C"/>
    <w:rsid w:val="00670349"/>
    <w:rsid w:val="006753FB"/>
    <w:rsid w:val="006759E6"/>
    <w:rsid w:val="00685171"/>
    <w:rsid w:val="006A0145"/>
    <w:rsid w:val="006A016F"/>
    <w:rsid w:val="006A323F"/>
    <w:rsid w:val="006A7B92"/>
    <w:rsid w:val="006B30D0"/>
    <w:rsid w:val="006C0730"/>
    <w:rsid w:val="006C0AD3"/>
    <w:rsid w:val="006C14A4"/>
    <w:rsid w:val="006C3D95"/>
    <w:rsid w:val="006C79D3"/>
    <w:rsid w:val="006D1E99"/>
    <w:rsid w:val="006D67E7"/>
    <w:rsid w:val="006D73BB"/>
    <w:rsid w:val="006E2A42"/>
    <w:rsid w:val="006E3141"/>
    <w:rsid w:val="006E5C86"/>
    <w:rsid w:val="006F71F4"/>
    <w:rsid w:val="00703E3B"/>
    <w:rsid w:val="00705538"/>
    <w:rsid w:val="007059D9"/>
    <w:rsid w:val="007060EB"/>
    <w:rsid w:val="00713C44"/>
    <w:rsid w:val="00723A44"/>
    <w:rsid w:val="00724E0C"/>
    <w:rsid w:val="00725B40"/>
    <w:rsid w:val="00726A73"/>
    <w:rsid w:val="00734A5B"/>
    <w:rsid w:val="0074026F"/>
    <w:rsid w:val="007420D3"/>
    <w:rsid w:val="007429F6"/>
    <w:rsid w:val="00742B5A"/>
    <w:rsid w:val="00744E76"/>
    <w:rsid w:val="00752198"/>
    <w:rsid w:val="00753881"/>
    <w:rsid w:val="007577D5"/>
    <w:rsid w:val="00761266"/>
    <w:rsid w:val="007615CA"/>
    <w:rsid w:val="00762483"/>
    <w:rsid w:val="0077432F"/>
    <w:rsid w:val="00774DA4"/>
    <w:rsid w:val="00775195"/>
    <w:rsid w:val="00781F0F"/>
    <w:rsid w:val="007851C1"/>
    <w:rsid w:val="00786D37"/>
    <w:rsid w:val="00791110"/>
    <w:rsid w:val="00791FEE"/>
    <w:rsid w:val="007A0E59"/>
    <w:rsid w:val="007B2F1E"/>
    <w:rsid w:val="007B462B"/>
    <w:rsid w:val="007B600E"/>
    <w:rsid w:val="007C4A4E"/>
    <w:rsid w:val="007C7A1D"/>
    <w:rsid w:val="007D48CC"/>
    <w:rsid w:val="007D5172"/>
    <w:rsid w:val="007D53B3"/>
    <w:rsid w:val="007D5A1C"/>
    <w:rsid w:val="007D7D88"/>
    <w:rsid w:val="007E2E4B"/>
    <w:rsid w:val="007E6293"/>
    <w:rsid w:val="007E7899"/>
    <w:rsid w:val="007F0AED"/>
    <w:rsid w:val="007F0F4A"/>
    <w:rsid w:val="007F708E"/>
    <w:rsid w:val="008028A4"/>
    <w:rsid w:val="008038C2"/>
    <w:rsid w:val="00805370"/>
    <w:rsid w:val="00810E8D"/>
    <w:rsid w:val="00820B25"/>
    <w:rsid w:val="00820E0F"/>
    <w:rsid w:val="00821AEF"/>
    <w:rsid w:val="00823989"/>
    <w:rsid w:val="00826E3B"/>
    <w:rsid w:val="008276AC"/>
    <w:rsid w:val="00830747"/>
    <w:rsid w:val="00831714"/>
    <w:rsid w:val="00833062"/>
    <w:rsid w:val="00833358"/>
    <w:rsid w:val="008340FF"/>
    <w:rsid w:val="008366FC"/>
    <w:rsid w:val="00840D0A"/>
    <w:rsid w:val="00841896"/>
    <w:rsid w:val="0084389E"/>
    <w:rsid w:val="00843B15"/>
    <w:rsid w:val="008478EC"/>
    <w:rsid w:val="008559EF"/>
    <w:rsid w:val="008569D0"/>
    <w:rsid w:val="008610F3"/>
    <w:rsid w:val="00863A2E"/>
    <w:rsid w:val="00871DFA"/>
    <w:rsid w:val="008768CA"/>
    <w:rsid w:val="00881283"/>
    <w:rsid w:val="008826B0"/>
    <w:rsid w:val="00884853"/>
    <w:rsid w:val="008A24DA"/>
    <w:rsid w:val="008A54F8"/>
    <w:rsid w:val="008A5EFF"/>
    <w:rsid w:val="008B2D3A"/>
    <w:rsid w:val="008C1634"/>
    <w:rsid w:val="008C384C"/>
    <w:rsid w:val="008C4A39"/>
    <w:rsid w:val="008C79C3"/>
    <w:rsid w:val="008D3F18"/>
    <w:rsid w:val="008E112D"/>
    <w:rsid w:val="008E3812"/>
    <w:rsid w:val="008E734D"/>
    <w:rsid w:val="008E7986"/>
    <w:rsid w:val="008F0C79"/>
    <w:rsid w:val="008F15A3"/>
    <w:rsid w:val="008F373C"/>
    <w:rsid w:val="0090271F"/>
    <w:rsid w:val="00902E23"/>
    <w:rsid w:val="009073D6"/>
    <w:rsid w:val="00910D9E"/>
    <w:rsid w:val="00911016"/>
    <w:rsid w:val="009114D7"/>
    <w:rsid w:val="009125EF"/>
    <w:rsid w:val="0091348E"/>
    <w:rsid w:val="00915D75"/>
    <w:rsid w:val="00917398"/>
    <w:rsid w:val="00917CCB"/>
    <w:rsid w:val="00924DAC"/>
    <w:rsid w:val="00926F97"/>
    <w:rsid w:val="0093011A"/>
    <w:rsid w:val="0093257B"/>
    <w:rsid w:val="00935B71"/>
    <w:rsid w:val="009426F4"/>
    <w:rsid w:val="00942EC2"/>
    <w:rsid w:val="00947ADF"/>
    <w:rsid w:val="00947F73"/>
    <w:rsid w:val="00952E10"/>
    <w:rsid w:val="00954463"/>
    <w:rsid w:val="009545A1"/>
    <w:rsid w:val="00963F84"/>
    <w:rsid w:val="00970201"/>
    <w:rsid w:val="009750A6"/>
    <w:rsid w:val="009876B4"/>
    <w:rsid w:val="00991277"/>
    <w:rsid w:val="00991C1A"/>
    <w:rsid w:val="00995869"/>
    <w:rsid w:val="009A758A"/>
    <w:rsid w:val="009B54B4"/>
    <w:rsid w:val="009C2C1B"/>
    <w:rsid w:val="009C412B"/>
    <w:rsid w:val="009C47B5"/>
    <w:rsid w:val="009C49E3"/>
    <w:rsid w:val="009D76DA"/>
    <w:rsid w:val="009E4AB1"/>
    <w:rsid w:val="009F237D"/>
    <w:rsid w:val="009F2B49"/>
    <w:rsid w:val="009F2F14"/>
    <w:rsid w:val="009F37B7"/>
    <w:rsid w:val="009F4887"/>
    <w:rsid w:val="009F5E43"/>
    <w:rsid w:val="00A03460"/>
    <w:rsid w:val="00A0420C"/>
    <w:rsid w:val="00A051F0"/>
    <w:rsid w:val="00A07446"/>
    <w:rsid w:val="00A10F02"/>
    <w:rsid w:val="00A164B4"/>
    <w:rsid w:val="00A22938"/>
    <w:rsid w:val="00A255D6"/>
    <w:rsid w:val="00A26956"/>
    <w:rsid w:val="00A33E80"/>
    <w:rsid w:val="00A37271"/>
    <w:rsid w:val="00A378DF"/>
    <w:rsid w:val="00A41A75"/>
    <w:rsid w:val="00A41D34"/>
    <w:rsid w:val="00A42368"/>
    <w:rsid w:val="00A4303F"/>
    <w:rsid w:val="00A47362"/>
    <w:rsid w:val="00A53724"/>
    <w:rsid w:val="00A5526E"/>
    <w:rsid w:val="00A56831"/>
    <w:rsid w:val="00A66A04"/>
    <w:rsid w:val="00A72D2D"/>
    <w:rsid w:val="00A73129"/>
    <w:rsid w:val="00A74818"/>
    <w:rsid w:val="00A75C35"/>
    <w:rsid w:val="00A76978"/>
    <w:rsid w:val="00A76AAC"/>
    <w:rsid w:val="00A82039"/>
    <w:rsid w:val="00A82346"/>
    <w:rsid w:val="00A82D1F"/>
    <w:rsid w:val="00A84B1E"/>
    <w:rsid w:val="00A8668F"/>
    <w:rsid w:val="00A9153E"/>
    <w:rsid w:val="00A91EAD"/>
    <w:rsid w:val="00A92BA1"/>
    <w:rsid w:val="00A951A7"/>
    <w:rsid w:val="00AB1ED1"/>
    <w:rsid w:val="00AB798F"/>
    <w:rsid w:val="00AB7F3B"/>
    <w:rsid w:val="00AC0039"/>
    <w:rsid w:val="00AC090B"/>
    <w:rsid w:val="00AC1040"/>
    <w:rsid w:val="00AC135F"/>
    <w:rsid w:val="00AC336B"/>
    <w:rsid w:val="00AC54B7"/>
    <w:rsid w:val="00AC6BC6"/>
    <w:rsid w:val="00AD2973"/>
    <w:rsid w:val="00AD47EE"/>
    <w:rsid w:val="00AD5DD7"/>
    <w:rsid w:val="00AE361D"/>
    <w:rsid w:val="00AE3797"/>
    <w:rsid w:val="00AE5821"/>
    <w:rsid w:val="00AE6124"/>
    <w:rsid w:val="00AF36D6"/>
    <w:rsid w:val="00AF3AA9"/>
    <w:rsid w:val="00AF4359"/>
    <w:rsid w:val="00AF4FE2"/>
    <w:rsid w:val="00AF5752"/>
    <w:rsid w:val="00AF76EA"/>
    <w:rsid w:val="00B0107E"/>
    <w:rsid w:val="00B03FD0"/>
    <w:rsid w:val="00B06539"/>
    <w:rsid w:val="00B10171"/>
    <w:rsid w:val="00B15449"/>
    <w:rsid w:val="00B16019"/>
    <w:rsid w:val="00B211C1"/>
    <w:rsid w:val="00B27217"/>
    <w:rsid w:val="00B27C15"/>
    <w:rsid w:val="00B32270"/>
    <w:rsid w:val="00B32B3E"/>
    <w:rsid w:val="00B3654C"/>
    <w:rsid w:val="00B43A3F"/>
    <w:rsid w:val="00B44E1F"/>
    <w:rsid w:val="00B4615A"/>
    <w:rsid w:val="00B60B51"/>
    <w:rsid w:val="00B61EEA"/>
    <w:rsid w:val="00B620CD"/>
    <w:rsid w:val="00B6233A"/>
    <w:rsid w:val="00B62DE3"/>
    <w:rsid w:val="00B64997"/>
    <w:rsid w:val="00B72D88"/>
    <w:rsid w:val="00B763CA"/>
    <w:rsid w:val="00B774BF"/>
    <w:rsid w:val="00B83171"/>
    <w:rsid w:val="00B838F7"/>
    <w:rsid w:val="00B8462F"/>
    <w:rsid w:val="00B85F36"/>
    <w:rsid w:val="00B913A1"/>
    <w:rsid w:val="00B93086"/>
    <w:rsid w:val="00BA19ED"/>
    <w:rsid w:val="00BA300B"/>
    <w:rsid w:val="00BA45FB"/>
    <w:rsid w:val="00BA4B8D"/>
    <w:rsid w:val="00BA59E2"/>
    <w:rsid w:val="00BA7900"/>
    <w:rsid w:val="00BB372C"/>
    <w:rsid w:val="00BB500C"/>
    <w:rsid w:val="00BC0F7D"/>
    <w:rsid w:val="00BC18F8"/>
    <w:rsid w:val="00BC4103"/>
    <w:rsid w:val="00BD69DB"/>
    <w:rsid w:val="00BE2A72"/>
    <w:rsid w:val="00BE3255"/>
    <w:rsid w:val="00BE3B9C"/>
    <w:rsid w:val="00BE5B23"/>
    <w:rsid w:val="00BF128E"/>
    <w:rsid w:val="00BF1E1E"/>
    <w:rsid w:val="00C02C5C"/>
    <w:rsid w:val="00C054B3"/>
    <w:rsid w:val="00C056AE"/>
    <w:rsid w:val="00C1496A"/>
    <w:rsid w:val="00C15F7F"/>
    <w:rsid w:val="00C163A6"/>
    <w:rsid w:val="00C2281E"/>
    <w:rsid w:val="00C23CE1"/>
    <w:rsid w:val="00C23FA3"/>
    <w:rsid w:val="00C24837"/>
    <w:rsid w:val="00C26810"/>
    <w:rsid w:val="00C273CF"/>
    <w:rsid w:val="00C33079"/>
    <w:rsid w:val="00C34DDA"/>
    <w:rsid w:val="00C353F4"/>
    <w:rsid w:val="00C45231"/>
    <w:rsid w:val="00C63D49"/>
    <w:rsid w:val="00C657BF"/>
    <w:rsid w:val="00C72833"/>
    <w:rsid w:val="00C75869"/>
    <w:rsid w:val="00C7616D"/>
    <w:rsid w:val="00C80F1D"/>
    <w:rsid w:val="00C82174"/>
    <w:rsid w:val="00C83BD4"/>
    <w:rsid w:val="00C93F40"/>
    <w:rsid w:val="00C95679"/>
    <w:rsid w:val="00C9693D"/>
    <w:rsid w:val="00C969B2"/>
    <w:rsid w:val="00CA3D0C"/>
    <w:rsid w:val="00CA7102"/>
    <w:rsid w:val="00CB445C"/>
    <w:rsid w:val="00CB4F7A"/>
    <w:rsid w:val="00CB51CC"/>
    <w:rsid w:val="00CB727F"/>
    <w:rsid w:val="00CC4C9A"/>
    <w:rsid w:val="00CC59FA"/>
    <w:rsid w:val="00CC742A"/>
    <w:rsid w:val="00CC76A9"/>
    <w:rsid w:val="00CD0EA6"/>
    <w:rsid w:val="00CD45C9"/>
    <w:rsid w:val="00CD655A"/>
    <w:rsid w:val="00CE076D"/>
    <w:rsid w:val="00CE4C40"/>
    <w:rsid w:val="00CF0171"/>
    <w:rsid w:val="00CF20E3"/>
    <w:rsid w:val="00CF78DE"/>
    <w:rsid w:val="00D008D3"/>
    <w:rsid w:val="00D031B0"/>
    <w:rsid w:val="00D04514"/>
    <w:rsid w:val="00D05632"/>
    <w:rsid w:val="00D074E7"/>
    <w:rsid w:val="00D07C26"/>
    <w:rsid w:val="00D1546F"/>
    <w:rsid w:val="00D17573"/>
    <w:rsid w:val="00D3057E"/>
    <w:rsid w:val="00D309CC"/>
    <w:rsid w:val="00D41667"/>
    <w:rsid w:val="00D42AC7"/>
    <w:rsid w:val="00D46431"/>
    <w:rsid w:val="00D55AC7"/>
    <w:rsid w:val="00D56A52"/>
    <w:rsid w:val="00D57972"/>
    <w:rsid w:val="00D673CA"/>
    <w:rsid w:val="00D675A9"/>
    <w:rsid w:val="00D67845"/>
    <w:rsid w:val="00D71BD1"/>
    <w:rsid w:val="00D733D5"/>
    <w:rsid w:val="00D738D6"/>
    <w:rsid w:val="00D755EB"/>
    <w:rsid w:val="00D77439"/>
    <w:rsid w:val="00D820C4"/>
    <w:rsid w:val="00D82C13"/>
    <w:rsid w:val="00D83477"/>
    <w:rsid w:val="00D836CB"/>
    <w:rsid w:val="00D857BA"/>
    <w:rsid w:val="00D8640F"/>
    <w:rsid w:val="00D866D7"/>
    <w:rsid w:val="00D87497"/>
    <w:rsid w:val="00D877CA"/>
    <w:rsid w:val="00D87E00"/>
    <w:rsid w:val="00D9134D"/>
    <w:rsid w:val="00D970EA"/>
    <w:rsid w:val="00D97FCF"/>
    <w:rsid w:val="00DA27C2"/>
    <w:rsid w:val="00DA60EC"/>
    <w:rsid w:val="00DA65F1"/>
    <w:rsid w:val="00DA7A03"/>
    <w:rsid w:val="00DB0281"/>
    <w:rsid w:val="00DB1818"/>
    <w:rsid w:val="00DB5EF6"/>
    <w:rsid w:val="00DC309B"/>
    <w:rsid w:val="00DC4DA2"/>
    <w:rsid w:val="00DC7727"/>
    <w:rsid w:val="00DD03DF"/>
    <w:rsid w:val="00DD18AC"/>
    <w:rsid w:val="00DD27CF"/>
    <w:rsid w:val="00DD4C17"/>
    <w:rsid w:val="00DD7EA0"/>
    <w:rsid w:val="00DE676A"/>
    <w:rsid w:val="00DF2B1F"/>
    <w:rsid w:val="00DF6189"/>
    <w:rsid w:val="00DF62CD"/>
    <w:rsid w:val="00E00755"/>
    <w:rsid w:val="00E02E2B"/>
    <w:rsid w:val="00E068AE"/>
    <w:rsid w:val="00E07D2B"/>
    <w:rsid w:val="00E100E0"/>
    <w:rsid w:val="00E10A8C"/>
    <w:rsid w:val="00E144A6"/>
    <w:rsid w:val="00E1558D"/>
    <w:rsid w:val="00E16486"/>
    <w:rsid w:val="00E16509"/>
    <w:rsid w:val="00E169E4"/>
    <w:rsid w:val="00E22E04"/>
    <w:rsid w:val="00E40560"/>
    <w:rsid w:val="00E41341"/>
    <w:rsid w:val="00E44582"/>
    <w:rsid w:val="00E45E4A"/>
    <w:rsid w:val="00E45EDF"/>
    <w:rsid w:val="00E52814"/>
    <w:rsid w:val="00E55151"/>
    <w:rsid w:val="00E670FF"/>
    <w:rsid w:val="00E67C3E"/>
    <w:rsid w:val="00E72324"/>
    <w:rsid w:val="00E723B3"/>
    <w:rsid w:val="00E729F0"/>
    <w:rsid w:val="00E72ABE"/>
    <w:rsid w:val="00E75C6A"/>
    <w:rsid w:val="00E77645"/>
    <w:rsid w:val="00E81945"/>
    <w:rsid w:val="00E834B8"/>
    <w:rsid w:val="00E84530"/>
    <w:rsid w:val="00E85A25"/>
    <w:rsid w:val="00E87309"/>
    <w:rsid w:val="00E87A96"/>
    <w:rsid w:val="00E90EC1"/>
    <w:rsid w:val="00EA59EF"/>
    <w:rsid w:val="00EA6EB0"/>
    <w:rsid w:val="00EB22F4"/>
    <w:rsid w:val="00EB233F"/>
    <w:rsid w:val="00EC3517"/>
    <w:rsid w:val="00EC454E"/>
    <w:rsid w:val="00EC4A25"/>
    <w:rsid w:val="00ED2E9E"/>
    <w:rsid w:val="00EE0D55"/>
    <w:rsid w:val="00EE2719"/>
    <w:rsid w:val="00EE4AD0"/>
    <w:rsid w:val="00EE57BC"/>
    <w:rsid w:val="00EE5AA7"/>
    <w:rsid w:val="00EF433E"/>
    <w:rsid w:val="00EF4B21"/>
    <w:rsid w:val="00EF718A"/>
    <w:rsid w:val="00F025A2"/>
    <w:rsid w:val="00F027A2"/>
    <w:rsid w:val="00F0286F"/>
    <w:rsid w:val="00F03D8B"/>
    <w:rsid w:val="00F04712"/>
    <w:rsid w:val="00F0567B"/>
    <w:rsid w:val="00F064C8"/>
    <w:rsid w:val="00F07B00"/>
    <w:rsid w:val="00F1639A"/>
    <w:rsid w:val="00F20665"/>
    <w:rsid w:val="00F20DA5"/>
    <w:rsid w:val="00F21311"/>
    <w:rsid w:val="00F21696"/>
    <w:rsid w:val="00F22EC7"/>
    <w:rsid w:val="00F2340C"/>
    <w:rsid w:val="00F3025B"/>
    <w:rsid w:val="00F31878"/>
    <w:rsid w:val="00F31A38"/>
    <w:rsid w:val="00F325C8"/>
    <w:rsid w:val="00F3263B"/>
    <w:rsid w:val="00F33616"/>
    <w:rsid w:val="00F36DC7"/>
    <w:rsid w:val="00F40BE4"/>
    <w:rsid w:val="00F417A1"/>
    <w:rsid w:val="00F614F2"/>
    <w:rsid w:val="00F61745"/>
    <w:rsid w:val="00F62112"/>
    <w:rsid w:val="00F62AEB"/>
    <w:rsid w:val="00F63709"/>
    <w:rsid w:val="00F63841"/>
    <w:rsid w:val="00F64097"/>
    <w:rsid w:val="00F64730"/>
    <w:rsid w:val="00F653B8"/>
    <w:rsid w:val="00F70647"/>
    <w:rsid w:val="00F71571"/>
    <w:rsid w:val="00F74935"/>
    <w:rsid w:val="00F75917"/>
    <w:rsid w:val="00F8253B"/>
    <w:rsid w:val="00FA1266"/>
    <w:rsid w:val="00FA2910"/>
    <w:rsid w:val="00FA65D0"/>
    <w:rsid w:val="00FB56EC"/>
    <w:rsid w:val="00FC1192"/>
    <w:rsid w:val="00FC3923"/>
    <w:rsid w:val="00FC41AB"/>
    <w:rsid w:val="00FC671A"/>
    <w:rsid w:val="00FD1E6E"/>
    <w:rsid w:val="00FD28D0"/>
    <w:rsid w:val="00FD2E2F"/>
    <w:rsid w:val="00FD2F5C"/>
    <w:rsid w:val="00FD3696"/>
    <w:rsid w:val="00FE092E"/>
    <w:rsid w:val="00FE2A7F"/>
    <w:rsid w:val="00FE59EB"/>
    <w:rsid w:val="00FF76FA"/>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E5FF7617-A5BA-F345-8B5D-2E8F3F9513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4DDA"/>
    <w:rPr>
      <w:sz w:val="24"/>
      <w:szCs w:val="24"/>
      <w:lang w:val="en-US" w:eastAsia="zh-CN"/>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1"/>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character" w:customStyle="1" w:styleId="TAHCar">
    <w:name w:val="TAH Car"/>
    <w:link w:val="TAH"/>
    <w:qFormat/>
    <w:rsid w:val="00924DAC"/>
    <w:rPr>
      <w:rFonts w:ascii="Arial" w:hAnsi="Arial"/>
      <w:b/>
      <w:sz w:val="18"/>
      <w:lang w:eastAsia="en-US"/>
    </w:rPr>
  </w:style>
  <w:style w:type="character" w:customStyle="1" w:styleId="TACChar">
    <w:name w:val="TAC Char"/>
    <w:link w:val="TAC"/>
    <w:qFormat/>
    <w:rsid w:val="00430001"/>
    <w:rPr>
      <w:rFonts w:ascii="Arial" w:hAnsi="Arial"/>
      <w:sz w:val="18"/>
      <w:lang w:eastAsia="en-US"/>
    </w:rPr>
  </w:style>
  <w:style w:type="character" w:customStyle="1" w:styleId="THChar">
    <w:name w:val="TH Char"/>
    <w:link w:val="TH"/>
    <w:qFormat/>
    <w:rsid w:val="00430001"/>
    <w:rPr>
      <w:rFonts w:ascii="Arial" w:hAnsi="Arial"/>
      <w:b/>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910D9E"/>
    <w:pPr>
      <w:ind w:left="720"/>
      <w:contextualSpacing/>
    </w:pPr>
  </w:style>
  <w:style w:type="character" w:customStyle="1" w:styleId="apple-converted-space">
    <w:name w:val="apple-converted-space"/>
    <w:basedOn w:val="DefaultParagraphFont"/>
    <w:rsid w:val="00300BA9"/>
  </w:style>
  <w:style w:type="character" w:styleId="CommentReference">
    <w:name w:val="annotation reference"/>
    <w:basedOn w:val="DefaultParagraphFont"/>
    <w:rsid w:val="00542052"/>
    <w:rPr>
      <w:sz w:val="16"/>
      <w:szCs w:val="16"/>
    </w:rPr>
  </w:style>
  <w:style w:type="paragraph" w:styleId="CommentText">
    <w:name w:val="annotation text"/>
    <w:basedOn w:val="Normal"/>
    <w:link w:val="CommentTextChar"/>
    <w:rsid w:val="00542052"/>
    <w:rPr>
      <w:sz w:val="20"/>
      <w:szCs w:val="20"/>
    </w:rPr>
  </w:style>
  <w:style w:type="character" w:customStyle="1" w:styleId="CommentTextChar">
    <w:name w:val="Comment Text Char"/>
    <w:basedOn w:val="DefaultParagraphFont"/>
    <w:link w:val="CommentText"/>
    <w:rsid w:val="00542052"/>
    <w:rPr>
      <w:lang w:val="en-US" w:eastAsia="zh-CN"/>
    </w:rPr>
  </w:style>
  <w:style w:type="paragraph" w:styleId="CommentSubject">
    <w:name w:val="annotation subject"/>
    <w:basedOn w:val="CommentText"/>
    <w:next w:val="CommentText"/>
    <w:link w:val="CommentSubjectChar"/>
    <w:rsid w:val="00542052"/>
    <w:rPr>
      <w:b/>
      <w:bCs/>
    </w:rPr>
  </w:style>
  <w:style w:type="character" w:customStyle="1" w:styleId="CommentSubjectChar">
    <w:name w:val="Comment Subject Char"/>
    <w:basedOn w:val="CommentTextChar"/>
    <w:link w:val="CommentSubject"/>
    <w:rsid w:val="00542052"/>
    <w:rPr>
      <w:b/>
      <w:bCs/>
      <w:lang w:val="en-US" w:eastAsia="zh-CN"/>
    </w:rPr>
  </w:style>
  <w:style w:type="character" w:customStyle="1" w:styleId="B1Char1">
    <w:name w:val="B1 Char1"/>
    <w:link w:val="B1"/>
    <w:locked/>
    <w:rsid w:val="00E22E04"/>
    <w:rPr>
      <w:sz w:val="24"/>
      <w:szCs w:val="24"/>
      <w:lang w:val="en-US" w:eastAsia="zh-CN"/>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F71F4"/>
    <w:rPr>
      <w:sz w:val="24"/>
      <w:szCs w:val="24"/>
      <w:lang w:val="en-US" w:eastAsia="zh-CN"/>
    </w:rPr>
  </w:style>
  <w:style w:type="character" w:customStyle="1" w:styleId="TANChar">
    <w:name w:val="TAN Char"/>
    <w:link w:val="TAN"/>
    <w:qFormat/>
    <w:rsid w:val="007D5172"/>
    <w:rPr>
      <w:rFonts w:ascii="Arial" w:hAnsi="Arial"/>
      <w:sz w:val="18"/>
      <w:szCs w:val="24"/>
      <w:lang w:val="en-US" w:eastAsia="zh-CN"/>
    </w:rPr>
  </w:style>
  <w:style w:type="character" w:customStyle="1" w:styleId="CRCoverPageChar">
    <w:name w:val="CR Cover Page Char"/>
    <w:link w:val="CRCoverPage"/>
    <w:locked/>
    <w:rsid w:val="003844E2"/>
    <w:rPr>
      <w:rFonts w:ascii="Arial" w:hAnsi="Arial" w:cs="Arial"/>
      <w:lang w:eastAsia="en-US"/>
    </w:rPr>
  </w:style>
  <w:style w:type="paragraph" w:customStyle="1" w:styleId="CRCoverPage">
    <w:name w:val="CR Cover Page"/>
    <w:next w:val="Normal"/>
    <w:link w:val="CRCoverPageChar"/>
    <w:rsid w:val="003844E2"/>
    <w:pPr>
      <w:spacing w:after="120"/>
    </w:pPr>
    <w:rPr>
      <w:rFonts w:ascii="Arial" w:hAnsi="Arial" w:cs="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050347">
      <w:bodyDiv w:val="1"/>
      <w:marLeft w:val="0"/>
      <w:marRight w:val="0"/>
      <w:marTop w:val="0"/>
      <w:marBottom w:val="0"/>
      <w:divBdr>
        <w:top w:val="none" w:sz="0" w:space="0" w:color="auto"/>
        <w:left w:val="none" w:sz="0" w:space="0" w:color="auto"/>
        <w:bottom w:val="none" w:sz="0" w:space="0" w:color="auto"/>
        <w:right w:val="none" w:sz="0" w:space="0" w:color="auto"/>
      </w:divBdr>
    </w:div>
    <w:div w:id="261108291">
      <w:bodyDiv w:val="1"/>
      <w:marLeft w:val="0"/>
      <w:marRight w:val="0"/>
      <w:marTop w:val="0"/>
      <w:marBottom w:val="0"/>
      <w:divBdr>
        <w:top w:val="none" w:sz="0" w:space="0" w:color="auto"/>
        <w:left w:val="none" w:sz="0" w:space="0" w:color="auto"/>
        <w:bottom w:val="none" w:sz="0" w:space="0" w:color="auto"/>
        <w:right w:val="none" w:sz="0" w:space="0" w:color="auto"/>
      </w:divBdr>
    </w:div>
    <w:div w:id="455639002">
      <w:bodyDiv w:val="1"/>
      <w:marLeft w:val="0"/>
      <w:marRight w:val="0"/>
      <w:marTop w:val="0"/>
      <w:marBottom w:val="0"/>
      <w:divBdr>
        <w:top w:val="none" w:sz="0" w:space="0" w:color="auto"/>
        <w:left w:val="none" w:sz="0" w:space="0" w:color="auto"/>
        <w:bottom w:val="none" w:sz="0" w:space="0" w:color="auto"/>
        <w:right w:val="none" w:sz="0" w:space="0" w:color="auto"/>
      </w:divBdr>
    </w:div>
    <w:div w:id="488131283">
      <w:bodyDiv w:val="1"/>
      <w:marLeft w:val="0"/>
      <w:marRight w:val="0"/>
      <w:marTop w:val="0"/>
      <w:marBottom w:val="0"/>
      <w:divBdr>
        <w:top w:val="none" w:sz="0" w:space="0" w:color="auto"/>
        <w:left w:val="none" w:sz="0" w:space="0" w:color="auto"/>
        <w:bottom w:val="none" w:sz="0" w:space="0" w:color="auto"/>
        <w:right w:val="none" w:sz="0" w:space="0" w:color="auto"/>
      </w:divBdr>
      <w:divsChild>
        <w:div w:id="251860231">
          <w:marLeft w:val="0"/>
          <w:marRight w:val="0"/>
          <w:marTop w:val="0"/>
          <w:marBottom w:val="0"/>
          <w:divBdr>
            <w:top w:val="none" w:sz="0" w:space="0" w:color="auto"/>
            <w:left w:val="none" w:sz="0" w:space="0" w:color="auto"/>
            <w:bottom w:val="none" w:sz="0" w:space="0" w:color="auto"/>
            <w:right w:val="none" w:sz="0" w:space="0" w:color="auto"/>
          </w:divBdr>
        </w:div>
        <w:div w:id="304744085">
          <w:marLeft w:val="0"/>
          <w:marRight w:val="0"/>
          <w:marTop w:val="0"/>
          <w:marBottom w:val="0"/>
          <w:divBdr>
            <w:top w:val="none" w:sz="0" w:space="0" w:color="auto"/>
            <w:left w:val="none" w:sz="0" w:space="0" w:color="auto"/>
            <w:bottom w:val="none" w:sz="0" w:space="0" w:color="auto"/>
            <w:right w:val="none" w:sz="0" w:space="0" w:color="auto"/>
          </w:divBdr>
        </w:div>
        <w:div w:id="849291641">
          <w:marLeft w:val="0"/>
          <w:marRight w:val="0"/>
          <w:marTop w:val="0"/>
          <w:marBottom w:val="0"/>
          <w:divBdr>
            <w:top w:val="none" w:sz="0" w:space="0" w:color="auto"/>
            <w:left w:val="none" w:sz="0" w:space="0" w:color="auto"/>
            <w:bottom w:val="none" w:sz="0" w:space="0" w:color="auto"/>
            <w:right w:val="none" w:sz="0" w:space="0" w:color="auto"/>
          </w:divBdr>
        </w:div>
        <w:div w:id="1429538620">
          <w:marLeft w:val="0"/>
          <w:marRight w:val="0"/>
          <w:marTop w:val="0"/>
          <w:marBottom w:val="0"/>
          <w:divBdr>
            <w:top w:val="none" w:sz="0" w:space="0" w:color="auto"/>
            <w:left w:val="none" w:sz="0" w:space="0" w:color="auto"/>
            <w:bottom w:val="none" w:sz="0" w:space="0" w:color="auto"/>
            <w:right w:val="none" w:sz="0" w:space="0" w:color="auto"/>
          </w:divBdr>
        </w:div>
      </w:divsChild>
    </w:div>
    <w:div w:id="647708612">
      <w:bodyDiv w:val="1"/>
      <w:marLeft w:val="0"/>
      <w:marRight w:val="0"/>
      <w:marTop w:val="0"/>
      <w:marBottom w:val="0"/>
      <w:divBdr>
        <w:top w:val="none" w:sz="0" w:space="0" w:color="auto"/>
        <w:left w:val="none" w:sz="0" w:space="0" w:color="auto"/>
        <w:bottom w:val="none" w:sz="0" w:space="0" w:color="auto"/>
        <w:right w:val="none" w:sz="0" w:space="0" w:color="auto"/>
      </w:divBdr>
      <w:divsChild>
        <w:div w:id="132639828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75440263">
              <w:marLeft w:val="0"/>
              <w:marRight w:val="0"/>
              <w:marTop w:val="0"/>
              <w:marBottom w:val="0"/>
              <w:divBdr>
                <w:top w:val="none" w:sz="0" w:space="0" w:color="auto"/>
                <w:left w:val="none" w:sz="0" w:space="0" w:color="auto"/>
                <w:bottom w:val="none" w:sz="0" w:space="0" w:color="auto"/>
                <w:right w:val="none" w:sz="0" w:space="0" w:color="auto"/>
              </w:divBdr>
              <w:divsChild>
                <w:div w:id="463550557">
                  <w:marLeft w:val="0"/>
                  <w:marRight w:val="0"/>
                  <w:marTop w:val="0"/>
                  <w:marBottom w:val="0"/>
                  <w:divBdr>
                    <w:top w:val="none" w:sz="0" w:space="0" w:color="auto"/>
                    <w:left w:val="none" w:sz="0" w:space="0" w:color="auto"/>
                    <w:bottom w:val="none" w:sz="0" w:space="0" w:color="auto"/>
                    <w:right w:val="none" w:sz="0" w:space="0" w:color="auto"/>
                  </w:divBdr>
                  <w:divsChild>
                    <w:div w:id="968364190">
                      <w:marLeft w:val="0"/>
                      <w:marRight w:val="0"/>
                      <w:marTop w:val="0"/>
                      <w:marBottom w:val="0"/>
                      <w:divBdr>
                        <w:top w:val="none" w:sz="0" w:space="0" w:color="auto"/>
                        <w:left w:val="none" w:sz="0" w:space="0" w:color="auto"/>
                        <w:bottom w:val="none" w:sz="0" w:space="0" w:color="auto"/>
                        <w:right w:val="none" w:sz="0" w:space="0" w:color="auto"/>
                      </w:divBdr>
                      <w:divsChild>
                        <w:div w:id="763305344">
                          <w:marLeft w:val="0"/>
                          <w:marRight w:val="0"/>
                          <w:marTop w:val="0"/>
                          <w:marBottom w:val="0"/>
                          <w:divBdr>
                            <w:top w:val="none" w:sz="0" w:space="0" w:color="auto"/>
                            <w:left w:val="none" w:sz="0" w:space="0" w:color="auto"/>
                            <w:bottom w:val="none" w:sz="0" w:space="0" w:color="auto"/>
                            <w:right w:val="none" w:sz="0" w:space="0" w:color="auto"/>
                          </w:divBdr>
                          <w:divsChild>
                            <w:div w:id="7775226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89084475">
                                  <w:marLeft w:val="0"/>
                                  <w:marRight w:val="0"/>
                                  <w:marTop w:val="0"/>
                                  <w:marBottom w:val="0"/>
                                  <w:divBdr>
                                    <w:top w:val="none" w:sz="0" w:space="0" w:color="auto"/>
                                    <w:left w:val="none" w:sz="0" w:space="0" w:color="auto"/>
                                    <w:bottom w:val="none" w:sz="0" w:space="0" w:color="auto"/>
                                    <w:right w:val="none" w:sz="0" w:space="0" w:color="auto"/>
                                  </w:divBdr>
                                  <w:divsChild>
                                    <w:div w:id="584456131">
                                      <w:marLeft w:val="0"/>
                                      <w:marRight w:val="0"/>
                                      <w:marTop w:val="0"/>
                                      <w:marBottom w:val="0"/>
                                      <w:divBdr>
                                        <w:top w:val="none" w:sz="0" w:space="0" w:color="auto"/>
                                        <w:left w:val="none" w:sz="0" w:space="0" w:color="auto"/>
                                        <w:bottom w:val="none" w:sz="0" w:space="0" w:color="auto"/>
                                        <w:right w:val="none" w:sz="0" w:space="0" w:color="auto"/>
                                      </w:divBdr>
                                      <w:divsChild>
                                        <w:div w:id="554118959">
                                          <w:marLeft w:val="0"/>
                                          <w:marRight w:val="0"/>
                                          <w:marTop w:val="0"/>
                                          <w:marBottom w:val="0"/>
                                          <w:divBdr>
                                            <w:top w:val="none" w:sz="0" w:space="0" w:color="auto"/>
                                            <w:left w:val="none" w:sz="0" w:space="0" w:color="auto"/>
                                            <w:bottom w:val="none" w:sz="0" w:space="0" w:color="auto"/>
                                            <w:right w:val="none" w:sz="0" w:space="0" w:color="auto"/>
                                          </w:divBdr>
                                          <w:divsChild>
                                            <w:div w:id="105278682">
                                              <w:marLeft w:val="0"/>
                                              <w:marRight w:val="0"/>
                                              <w:marTop w:val="0"/>
                                              <w:marBottom w:val="0"/>
                                              <w:divBdr>
                                                <w:top w:val="none" w:sz="0" w:space="0" w:color="auto"/>
                                                <w:left w:val="none" w:sz="0" w:space="0" w:color="auto"/>
                                                <w:bottom w:val="none" w:sz="0" w:space="0" w:color="auto"/>
                                                <w:right w:val="none" w:sz="0" w:space="0" w:color="auto"/>
                                              </w:divBdr>
                                              <w:divsChild>
                                                <w:div w:id="104709971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76821490">
                                                      <w:marLeft w:val="0"/>
                                                      <w:marRight w:val="0"/>
                                                      <w:marTop w:val="0"/>
                                                      <w:marBottom w:val="0"/>
                                                      <w:divBdr>
                                                        <w:top w:val="none" w:sz="0" w:space="0" w:color="auto"/>
                                                        <w:left w:val="none" w:sz="0" w:space="0" w:color="auto"/>
                                                        <w:bottom w:val="none" w:sz="0" w:space="0" w:color="auto"/>
                                                        <w:right w:val="none" w:sz="0" w:space="0" w:color="auto"/>
                                                      </w:divBdr>
                                                      <w:divsChild>
                                                        <w:div w:id="292911204">
                                                          <w:marLeft w:val="0"/>
                                                          <w:marRight w:val="0"/>
                                                          <w:marTop w:val="0"/>
                                                          <w:marBottom w:val="0"/>
                                                          <w:divBdr>
                                                            <w:top w:val="none" w:sz="0" w:space="0" w:color="auto"/>
                                                            <w:left w:val="none" w:sz="0" w:space="0" w:color="auto"/>
                                                            <w:bottom w:val="none" w:sz="0" w:space="0" w:color="auto"/>
                                                            <w:right w:val="none" w:sz="0" w:space="0" w:color="auto"/>
                                                          </w:divBdr>
                                                          <w:divsChild>
                                                            <w:div w:id="1928541231">
                                                              <w:marLeft w:val="0"/>
                                                              <w:marRight w:val="0"/>
                                                              <w:marTop w:val="0"/>
                                                              <w:marBottom w:val="0"/>
                                                              <w:divBdr>
                                                                <w:top w:val="none" w:sz="0" w:space="0" w:color="auto"/>
                                                                <w:left w:val="none" w:sz="0" w:space="0" w:color="auto"/>
                                                                <w:bottom w:val="none" w:sz="0" w:space="0" w:color="auto"/>
                                                                <w:right w:val="none" w:sz="0" w:space="0" w:color="auto"/>
                                                              </w:divBdr>
                                                              <w:divsChild>
                                                                <w:div w:id="1241864238">
                                                                  <w:marLeft w:val="0"/>
                                                                  <w:marRight w:val="0"/>
                                                                  <w:marTop w:val="0"/>
                                                                  <w:marBottom w:val="0"/>
                                                                  <w:divBdr>
                                                                    <w:top w:val="none" w:sz="0" w:space="0" w:color="auto"/>
                                                                    <w:left w:val="none" w:sz="0" w:space="0" w:color="auto"/>
                                                                    <w:bottom w:val="none" w:sz="0" w:space="0" w:color="auto"/>
                                                                    <w:right w:val="none" w:sz="0" w:space="0" w:color="auto"/>
                                                                  </w:divBdr>
                                                                  <w:divsChild>
                                                                    <w:div w:id="2111192157">
                                                                      <w:marLeft w:val="0"/>
                                                                      <w:marRight w:val="0"/>
                                                                      <w:marTop w:val="0"/>
                                                                      <w:marBottom w:val="0"/>
                                                                      <w:divBdr>
                                                                        <w:top w:val="none" w:sz="0" w:space="0" w:color="auto"/>
                                                                        <w:left w:val="none" w:sz="0" w:space="0" w:color="auto"/>
                                                                        <w:bottom w:val="none" w:sz="0" w:space="0" w:color="auto"/>
                                                                        <w:right w:val="none" w:sz="0" w:space="0" w:color="auto"/>
                                                                      </w:divBdr>
                                                                      <w:divsChild>
                                                                        <w:div w:id="48558683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91888098">
                                                                              <w:marLeft w:val="0"/>
                                                                              <w:marRight w:val="0"/>
                                                                              <w:marTop w:val="0"/>
                                                                              <w:marBottom w:val="0"/>
                                                                              <w:divBdr>
                                                                                <w:top w:val="none" w:sz="0" w:space="0" w:color="auto"/>
                                                                                <w:left w:val="none" w:sz="0" w:space="0" w:color="auto"/>
                                                                                <w:bottom w:val="none" w:sz="0" w:space="0" w:color="auto"/>
                                                                                <w:right w:val="none" w:sz="0" w:space="0" w:color="auto"/>
                                                                              </w:divBdr>
                                                                              <w:divsChild>
                                                                                <w:div w:id="167447495">
                                                                                  <w:marLeft w:val="0"/>
                                                                                  <w:marRight w:val="0"/>
                                                                                  <w:marTop w:val="0"/>
                                                                                  <w:marBottom w:val="0"/>
                                                                                  <w:divBdr>
                                                                                    <w:top w:val="none" w:sz="0" w:space="0" w:color="auto"/>
                                                                                    <w:left w:val="none" w:sz="0" w:space="0" w:color="auto"/>
                                                                                    <w:bottom w:val="none" w:sz="0" w:space="0" w:color="auto"/>
                                                                                    <w:right w:val="none" w:sz="0" w:space="0" w:color="auto"/>
                                                                                  </w:divBdr>
                                                                                  <w:divsChild>
                                                                                    <w:div w:id="1780761365">
                                                                                      <w:marLeft w:val="0"/>
                                                                                      <w:marRight w:val="0"/>
                                                                                      <w:marTop w:val="0"/>
                                                                                      <w:marBottom w:val="0"/>
                                                                                      <w:divBdr>
                                                                                        <w:top w:val="none" w:sz="0" w:space="0" w:color="auto"/>
                                                                                        <w:left w:val="none" w:sz="0" w:space="0" w:color="auto"/>
                                                                                        <w:bottom w:val="none" w:sz="0" w:space="0" w:color="auto"/>
                                                                                        <w:right w:val="none" w:sz="0" w:space="0" w:color="auto"/>
                                                                                      </w:divBdr>
                                                                                      <w:divsChild>
                                                                                        <w:div w:id="236214885">
                                                                                          <w:marLeft w:val="0"/>
                                                                                          <w:marRight w:val="0"/>
                                                                                          <w:marTop w:val="0"/>
                                                                                          <w:marBottom w:val="0"/>
                                                                                          <w:divBdr>
                                                                                            <w:top w:val="none" w:sz="0" w:space="0" w:color="auto"/>
                                                                                            <w:left w:val="none" w:sz="0" w:space="0" w:color="auto"/>
                                                                                            <w:bottom w:val="none" w:sz="0" w:space="0" w:color="auto"/>
                                                                                            <w:right w:val="none" w:sz="0" w:space="0" w:color="auto"/>
                                                                                          </w:divBdr>
                                                                                          <w:divsChild>
                                                                                            <w:div w:id="150019179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94969823">
                                                                                                  <w:marLeft w:val="0"/>
                                                                                                  <w:marRight w:val="0"/>
                                                                                                  <w:marTop w:val="0"/>
                                                                                                  <w:marBottom w:val="0"/>
                                                                                                  <w:divBdr>
                                                                                                    <w:top w:val="none" w:sz="0" w:space="0" w:color="auto"/>
                                                                                                    <w:left w:val="none" w:sz="0" w:space="0" w:color="auto"/>
                                                                                                    <w:bottom w:val="none" w:sz="0" w:space="0" w:color="auto"/>
                                                                                                    <w:right w:val="none" w:sz="0" w:space="0" w:color="auto"/>
                                                                                                  </w:divBdr>
                                                                                                  <w:divsChild>
                                                                                                    <w:div w:id="460853618">
                                                                                                      <w:marLeft w:val="0"/>
                                                                                                      <w:marRight w:val="0"/>
                                                                                                      <w:marTop w:val="0"/>
                                                                                                      <w:marBottom w:val="0"/>
                                                                                                      <w:divBdr>
                                                                                                        <w:top w:val="none" w:sz="0" w:space="0" w:color="auto"/>
                                                                                                        <w:left w:val="none" w:sz="0" w:space="0" w:color="auto"/>
                                                                                                        <w:bottom w:val="none" w:sz="0" w:space="0" w:color="auto"/>
                                                                                                        <w:right w:val="none" w:sz="0" w:space="0" w:color="auto"/>
                                                                                                      </w:divBdr>
                                                                                                      <w:divsChild>
                                                                                                        <w:div w:id="1351029235">
                                                                                                          <w:marLeft w:val="0"/>
                                                                                                          <w:marRight w:val="0"/>
                                                                                                          <w:marTop w:val="0"/>
                                                                                                          <w:marBottom w:val="0"/>
                                                                                                          <w:divBdr>
                                                                                                            <w:top w:val="none" w:sz="0" w:space="0" w:color="auto"/>
                                                                                                            <w:left w:val="none" w:sz="0" w:space="0" w:color="auto"/>
                                                                                                            <w:bottom w:val="none" w:sz="0" w:space="0" w:color="auto"/>
                                                                                                            <w:right w:val="none" w:sz="0" w:space="0" w:color="auto"/>
                                                                                                          </w:divBdr>
                                                                                                          <w:divsChild>
                                                                                                            <w:div w:id="57752113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53137866">
                                                                                                                  <w:marLeft w:val="0"/>
                                                                                                                  <w:marRight w:val="0"/>
                                                                                                                  <w:marTop w:val="0"/>
                                                                                                                  <w:marBottom w:val="0"/>
                                                                                                                  <w:divBdr>
                                                                                                                    <w:top w:val="none" w:sz="0" w:space="0" w:color="auto"/>
                                                                                                                    <w:left w:val="none" w:sz="0" w:space="0" w:color="auto"/>
                                                                                                                    <w:bottom w:val="none" w:sz="0" w:space="0" w:color="auto"/>
                                                                                                                    <w:right w:val="none" w:sz="0" w:space="0" w:color="auto"/>
                                                                                                                  </w:divBdr>
                                                                                                                  <w:divsChild>
                                                                                                                    <w:div w:id="648557187">
                                                                                                                      <w:marLeft w:val="0"/>
                                                                                                                      <w:marRight w:val="0"/>
                                                                                                                      <w:marTop w:val="0"/>
                                                                                                                      <w:marBottom w:val="0"/>
                                                                                                                      <w:divBdr>
                                                                                                                        <w:top w:val="none" w:sz="0" w:space="0" w:color="auto"/>
                                                                                                                        <w:left w:val="none" w:sz="0" w:space="0" w:color="auto"/>
                                                                                                                        <w:bottom w:val="none" w:sz="0" w:space="0" w:color="auto"/>
                                                                                                                        <w:right w:val="none" w:sz="0" w:space="0" w:color="auto"/>
                                                                                                                      </w:divBdr>
                                                                                                                    </w:div>
                                                                                                                    <w:div w:id="705181224">
                                                                                                                      <w:marLeft w:val="0"/>
                                                                                                                      <w:marRight w:val="0"/>
                                                                                                                      <w:marTop w:val="0"/>
                                                                                                                      <w:marBottom w:val="0"/>
                                                                                                                      <w:divBdr>
                                                                                                                        <w:top w:val="none" w:sz="0" w:space="0" w:color="auto"/>
                                                                                                                        <w:left w:val="none" w:sz="0" w:space="0" w:color="auto"/>
                                                                                                                        <w:bottom w:val="none" w:sz="0" w:space="0" w:color="auto"/>
                                                                                                                        <w:right w:val="none" w:sz="0" w:space="0" w:color="auto"/>
                                                                                                                      </w:divBdr>
                                                                                                                    </w:div>
                                                                                                                    <w:div w:id="981427756">
                                                                                                                      <w:marLeft w:val="0"/>
                                                                                                                      <w:marRight w:val="0"/>
                                                                                                                      <w:marTop w:val="0"/>
                                                                                                                      <w:marBottom w:val="0"/>
                                                                                                                      <w:divBdr>
                                                                                                                        <w:top w:val="none" w:sz="0" w:space="0" w:color="auto"/>
                                                                                                                        <w:left w:val="none" w:sz="0" w:space="0" w:color="auto"/>
                                                                                                                        <w:bottom w:val="none" w:sz="0" w:space="0" w:color="auto"/>
                                                                                                                        <w:right w:val="none" w:sz="0" w:space="0" w:color="auto"/>
                                                                                                                      </w:divBdr>
                                                                                                                    </w:div>
                                                                                                                    <w:div w:id="1767996403">
                                                                                                                      <w:marLeft w:val="0"/>
                                                                                                                      <w:marRight w:val="0"/>
                                                                                                                      <w:marTop w:val="0"/>
                                                                                                                      <w:marBottom w:val="0"/>
                                                                                                                      <w:divBdr>
                                                                                                                        <w:top w:val="none" w:sz="0" w:space="0" w:color="auto"/>
                                                                                                                        <w:left w:val="none" w:sz="0" w:space="0" w:color="auto"/>
                                                                                                                        <w:bottom w:val="none" w:sz="0" w:space="0" w:color="auto"/>
                                                                                                                        <w:right w:val="none" w:sz="0" w:space="0" w:color="auto"/>
                                                                                                                      </w:divBdr>
                                                                                                                    </w:div>
                                                                                                                    <w:div w:id="1920216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89337656">
      <w:bodyDiv w:val="1"/>
      <w:marLeft w:val="0"/>
      <w:marRight w:val="0"/>
      <w:marTop w:val="0"/>
      <w:marBottom w:val="0"/>
      <w:divBdr>
        <w:top w:val="none" w:sz="0" w:space="0" w:color="auto"/>
        <w:left w:val="none" w:sz="0" w:space="0" w:color="auto"/>
        <w:bottom w:val="none" w:sz="0" w:space="0" w:color="auto"/>
        <w:right w:val="none" w:sz="0" w:space="0" w:color="auto"/>
      </w:divBdr>
    </w:div>
    <w:div w:id="756363984">
      <w:bodyDiv w:val="1"/>
      <w:marLeft w:val="0"/>
      <w:marRight w:val="0"/>
      <w:marTop w:val="0"/>
      <w:marBottom w:val="0"/>
      <w:divBdr>
        <w:top w:val="none" w:sz="0" w:space="0" w:color="auto"/>
        <w:left w:val="none" w:sz="0" w:space="0" w:color="auto"/>
        <w:bottom w:val="none" w:sz="0" w:space="0" w:color="auto"/>
        <w:right w:val="none" w:sz="0" w:space="0" w:color="auto"/>
      </w:divBdr>
    </w:div>
    <w:div w:id="1160730261">
      <w:bodyDiv w:val="1"/>
      <w:marLeft w:val="0"/>
      <w:marRight w:val="0"/>
      <w:marTop w:val="0"/>
      <w:marBottom w:val="0"/>
      <w:divBdr>
        <w:top w:val="none" w:sz="0" w:space="0" w:color="auto"/>
        <w:left w:val="none" w:sz="0" w:space="0" w:color="auto"/>
        <w:bottom w:val="none" w:sz="0" w:space="0" w:color="auto"/>
        <w:right w:val="none" w:sz="0" w:space="0" w:color="auto"/>
      </w:divBdr>
    </w:div>
    <w:div w:id="1228414319">
      <w:bodyDiv w:val="1"/>
      <w:marLeft w:val="0"/>
      <w:marRight w:val="0"/>
      <w:marTop w:val="0"/>
      <w:marBottom w:val="0"/>
      <w:divBdr>
        <w:top w:val="none" w:sz="0" w:space="0" w:color="auto"/>
        <w:left w:val="none" w:sz="0" w:space="0" w:color="auto"/>
        <w:bottom w:val="none" w:sz="0" w:space="0" w:color="auto"/>
        <w:right w:val="none" w:sz="0" w:space="0" w:color="auto"/>
      </w:divBdr>
    </w:div>
    <w:div w:id="1294945588">
      <w:bodyDiv w:val="1"/>
      <w:marLeft w:val="0"/>
      <w:marRight w:val="0"/>
      <w:marTop w:val="0"/>
      <w:marBottom w:val="0"/>
      <w:divBdr>
        <w:top w:val="none" w:sz="0" w:space="0" w:color="auto"/>
        <w:left w:val="none" w:sz="0" w:space="0" w:color="auto"/>
        <w:bottom w:val="none" w:sz="0" w:space="0" w:color="auto"/>
        <w:right w:val="none" w:sz="0" w:space="0" w:color="auto"/>
      </w:divBdr>
    </w:div>
    <w:div w:id="1358895108">
      <w:bodyDiv w:val="1"/>
      <w:marLeft w:val="0"/>
      <w:marRight w:val="0"/>
      <w:marTop w:val="0"/>
      <w:marBottom w:val="0"/>
      <w:divBdr>
        <w:top w:val="none" w:sz="0" w:space="0" w:color="auto"/>
        <w:left w:val="none" w:sz="0" w:space="0" w:color="auto"/>
        <w:bottom w:val="none" w:sz="0" w:space="0" w:color="auto"/>
        <w:right w:val="none" w:sz="0" w:space="0" w:color="auto"/>
      </w:divBdr>
      <w:divsChild>
        <w:div w:id="17006919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02064132">
              <w:marLeft w:val="0"/>
              <w:marRight w:val="0"/>
              <w:marTop w:val="0"/>
              <w:marBottom w:val="0"/>
              <w:divBdr>
                <w:top w:val="none" w:sz="0" w:space="0" w:color="auto"/>
                <w:left w:val="none" w:sz="0" w:space="0" w:color="auto"/>
                <w:bottom w:val="none" w:sz="0" w:space="0" w:color="auto"/>
                <w:right w:val="none" w:sz="0" w:space="0" w:color="auto"/>
              </w:divBdr>
              <w:divsChild>
                <w:div w:id="715085161">
                  <w:marLeft w:val="0"/>
                  <w:marRight w:val="0"/>
                  <w:marTop w:val="0"/>
                  <w:marBottom w:val="0"/>
                  <w:divBdr>
                    <w:top w:val="none" w:sz="0" w:space="0" w:color="auto"/>
                    <w:left w:val="none" w:sz="0" w:space="0" w:color="auto"/>
                    <w:bottom w:val="none" w:sz="0" w:space="0" w:color="auto"/>
                    <w:right w:val="none" w:sz="0" w:space="0" w:color="auto"/>
                  </w:divBdr>
                  <w:divsChild>
                    <w:div w:id="426049660">
                      <w:marLeft w:val="0"/>
                      <w:marRight w:val="0"/>
                      <w:marTop w:val="0"/>
                      <w:marBottom w:val="0"/>
                      <w:divBdr>
                        <w:top w:val="none" w:sz="0" w:space="0" w:color="auto"/>
                        <w:left w:val="none" w:sz="0" w:space="0" w:color="auto"/>
                        <w:bottom w:val="none" w:sz="0" w:space="0" w:color="auto"/>
                        <w:right w:val="none" w:sz="0" w:space="0" w:color="auto"/>
                      </w:divBdr>
                      <w:divsChild>
                        <w:div w:id="1363049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98404381">
      <w:bodyDiv w:val="1"/>
      <w:marLeft w:val="0"/>
      <w:marRight w:val="0"/>
      <w:marTop w:val="0"/>
      <w:marBottom w:val="0"/>
      <w:divBdr>
        <w:top w:val="none" w:sz="0" w:space="0" w:color="auto"/>
        <w:left w:val="none" w:sz="0" w:space="0" w:color="auto"/>
        <w:bottom w:val="none" w:sz="0" w:space="0" w:color="auto"/>
        <w:right w:val="none" w:sz="0" w:space="0" w:color="auto"/>
      </w:divBdr>
      <w:divsChild>
        <w:div w:id="76087815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30079162">
              <w:marLeft w:val="0"/>
              <w:marRight w:val="0"/>
              <w:marTop w:val="0"/>
              <w:marBottom w:val="0"/>
              <w:divBdr>
                <w:top w:val="none" w:sz="0" w:space="0" w:color="auto"/>
                <w:left w:val="none" w:sz="0" w:space="0" w:color="auto"/>
                <w:bottom w:val="none" w:sz="0" w:space="0" w:color="auto"/>
                <w:right w:val="none" w:sz="0" w:space="0" w:color="auto"/>
              </w:divBdr>
              <w:divsChild>
                <w:div w:id="1609072529">
                  <w:marLeft w:val="0"/>
                  <w:marRight w:val="0"/>
                  <w:marTop w:val="0"/>
                  <w:marBottom w:val="0"/>
                  <w:divBdr>
                    <w:top w:val="none" w:sz="0" w:space="0" w:color="auto"/>
                    <w:left w:val="none" w:sz="0" w:space="0" w:color="auto"/>
                    <w:bottom w:val="none" w:sz="0" w:space="0" w:color="auto"/>
                    <w:right w:val="none" w:sz="0" w:space="0" w:color="auto"/>
                  </w:divBdr>
                  <w:divsChild>
                    <w:div w:id="500582661">
                      <w:marLeft w:val="0"/>
                      <w:marRight w:val="0"/>
                      <w:marTop w:val="0"/>
                      <w:marBottom w:val="0"/>
                      <w:divBdr>
                        <w:top w:val="none" w:sz="0" w:space="0" w:color="auto"/>
                        <w:left w:val="none" w:sz="0" w:space="0" w:color="auto"/>
                        <w:bottom w:val="none" w:sz="0" w:space="0" w:color="auto"/>
                        <w:right w:val="none" w:sz="0" w:space="0" w:color="auto"/>
                      </w:divBdr>
                      <w:divsChild>
                        <w:div w:id="1098021507">
                          <w:marLeft w:val="0"/>
                          <w:marRight w:val="0"/>
                          <w:marTop w:val="0"/>
                          <w:marBottom w:val="0"/>
                          <w:divBdr>
                            <w:top w:val="none" w:sz="0" w:space="0" w:color="auto"/>
                            <w:left w:val="none" w:sz="0" w:space="0" w:color="auto"/>
                            <w:bottom w:val="none" w:sz="0" w:space="0" w:color="auto"/>
                            <w:right w:val="none" w:sz="0" w:space="0" w:color="auto"/>
                          </w:divBdr>
                          <w:divsChild>
                            <w:div w:id="15775930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92404278">
                                  <w:marLeft w:val="0"/>
                                  <w:marRight w:val="0"/>
                                  <w:marTop w:val="0"/>
                                  <w:marBottom w:val="0"/>
                                  <w:divBdr>
                                    <w:top w:val="none" w:sz="0" w:space="0" w:color="auto"/>
                                    <w:left w:val="none" w:sz="0" w:space="0" w:color="auto"/>
                                    <w:bottom w:val="none" w:sz="0" w:space="0" w:color="auto"/>
                                    <w:right w:val="none" w:sz="0" w:space="0" w:color="auto"/>
                                  </w:divBdr>
                                  <w:divsChild>
                                    <w:div w:id="393747036">
                                      <w:marLeft w:val="0"/>
                                      <w:marRight w:val="0"/>
                                      <w:marTop w:val="0"/>
                                      <w:marBottom w:val="0"/>
                                      <w:divBdr>
                                        <w:top w:val="none" w:sz="0" w:space="0" w:color="auto"/>
                                        <w:left w:val="none" w:sz="0" w:space="0" w:color="auto"/>
                                        <w:bottom w:val="none" w:sz="0" w:space="0" w:color="auto"/>
                                        <w:right w:val="none" w:sz="0" w:space="0" w:color="auto"/>
                                      </w:divBdr>
                                      <w:divsChild>
                                        <w:div w:id="978876592">
                                          <w:marLeft w:val="0"/>
                                          <w:marRight w:val="0"/>
                                          <w:marTop w:val="0"/>
                                          <w:marBottom w:val="0"/>
                                          <w:divBdr>
                                            <w:top w:val="none" w:sz="0" w:space="0" w:color="auto"/>
                                            <w:left w:val="none" w:sz="0" w:space="0" w:color="auto"/>
                                            <w:bottom w:val="none" w:sz="0" w:space="0" w:color="auto"/>
                                            <w:right w:val="none" w:sz="0" w:space="0" w:color="auto"/>
                                          </w:divBdr>
                                          <w:divsChild>
                                            <w:div w:id="940528037">
                                              <w:marLeft w:val="0"/>
                                              <w:marRight w:val="0"/>
                                              <w:marTop w:val="0"/>
                                              <w:marBottom w:val="0"/>
                                              <w:divBdr>
                                                <w:top w:val="none" w:sz="0" w:space="0" w:color="auto"/>
                                                <w:left w:val="none" w:sz="0" w:space="0" w:color="auto"/>
                                                <w:bottom w:val="none" w:sz="0" w:space="0" w:color="auto"/>
                                                <w:right w:val="none" w:sz="0" w:space="0" w:color="auto"/>
                                              </w:divBdr>
                                              <w:divsChild>
                                                <w:div w:id="201903917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34746285">
                                                      <w:marLeft w:val="0"/>
                                                      <w:marRight w:val="0"/>
                                                      <w:marTop w:val="0"/>
                                                      <w:marBottom w:val="0"/>
                                                      <w:divBdr>
                                                        <w:top w:val="none" w:sz="0" w:space="0" w:color="auto"/>
                                                        <w:left w:val="none" w:sz="0" w:space="0" w:color="auto"/>
                                                        <w:bottom w:val="none" w:sz="0" w:space="0" w:color="auto"/>
                                                        <w:right w:val="none" w:sz="0" w:space="0" w:color="auto"/>
                                                      </w:divBdr>
                                                      <w:divsChild>
                                                        <w:div w:id="1193811105">
                                                          <w:marLeft w:val="0"/>
                                                          <w:marRight w:val="0"/>
                                                          <w:marTop w:val="0"/>
                                                          <w:marBottom w:val="0"/>
                                                          <w:divBdr>
                                                            <w:top w:val="none" w:sz="0" w:space="0" w:color="auto"/>
                                                            <w:left w:val="none" w:sz="0" w:space="0" w:color="auto"/>
                                                            <w:bottom w:val="none" w:sz="0" w:space="0" w:color="auto"/>
                                                            <w:right w:val="none" w:sz="0" w:space="0" w:color="auto"/>
                                                          </w:divBdr>
                                                          <w:divsChild>
                                                            <w:div w:id="1901624250">
                                                              <w:marLeft w:val="0"/>
                                                              <w:marRight w:val="0"/>
                                                              <w:marTop w:val="0"/>
                                                              <w:marBottom w:val="0"/>
                                                              <w:divBdr>
                                                                <w:top w:val="none" w:sz="0" w:space="0" w:color="auto"/>
                                                                <w:left w:val="none" w:sz="0" w:space="0" w:color="auto"/>
                                                                <w:bottom w:val="none" w:sz="0" w:space="0" w:color="auto"/>
                                                                <w:right w:val="none" w:sz="0" w:space="0" w:color="auto"/>
                                                              </w:divBdr>
                                                              <w:divsChild>
                                                                <w:div w:id="610669012">
                                                                  <w:marLeft w:val="0"/>
                                                                  <w:marRight w:val="0"/>
                                                                  <w:marTop w:val="0"/>
                                                                  <w:marBottom w:val="0"/>
                                                                  <w:divBdr>
                                                                    <w:top w:val="none" w:sz="0" w:space="0" w:color="auto"/>
                                                                    <w:left w:val="none" w:sz="0" w:space="0" w:color="auto"/>
                                                                    <w:bottom w:val="none" w:sz="0" w:space="0" w:color="auto"/>
                                                                    <w:right w:val="none" w:sz="0" w:space="0" w:color="auto"/>
                                                                  </w:divBdr>
                                                                  <w:divsChild>
                                                                    <w:div w:id="1193180476">
                                                                      <w:marLeft w:val="0"/>
                                                                      <w:marRight w:val="0"/>
                                                                      <w:marTop w:val="0"/>
                                                                      <w:marBottom w:val="0"/>
                                                                      <w:divBdr>
                                                                        <w:top w:val="none" w:sz="0" w:space="0" w:color="auto"/>
                                                                        <w:left w:val="none" w:sz="0" w:space="0" w:color="auto"/>
                                                                        <w:bottom w:val="none" w:sz="0" w:space="0" w:color="auto"/>
                                                                        <w:right w:val="none" w:sz="0" w:space="0" w:color="auto"/>
                                                                      </w:divBdr>
                                                                      <w:divsChild>
                                                                        <w:div w:id="57502154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43580841">
                                                                              <w:marLeft w:val="0"/>
                                                                              <w:marRight w:val="0"/>
                                                                              <w:marTop w:val="0"/>
                                                                              <w:marBottom w:val="0"/>
                                                                              <w:divBdr>
                                                                                <w:top w:val="none" w:sz="0" w:space="0" w:color="auto"/>
                                                                                <w:left w:val="none" w:sz="0" w:space="0" w:color="auto"/>
                                                                                <w:bottom w:val="none" w:sz="0" w:space="0" w:color="auto"/>
                                                                                <w:right w:val="none" w:sz="0" w:space="0" w:color="auto"/>
                                                                              </w:divBdr>
                                                                              <w:divsChild>
                                                                                <w:div w:id="1965647488">
                                                                                  <w:marLeft w:val="0"/>
                                                                                  <w:marRight w:val="0"/>
                                                                                  <w:marTop w:val="0"/>
                                                                                  <w:marBottom w:val="0"/>
                                                                                  <w:divBdr>
                                                                                    <w:top w:val="none" w:sz="0" w:space="0" w:color="auto"/>
                                                                                    <w:left w:val="none" w:sz="0" w:space="0" w:color="auto"/>
                                                                                    <w:bottom w:val="none" w:sz="0" w:space="0" w:color="auto"/>
                                                                                    <w:right w:val="none" w:sz="0" w:space="0" w:color="auto"/>
                                                                                  </w:divBdr>
                                                                                  <w:divsChild>
                                                                                    <w:div w:id="344020520">
                                                                                      <w:marLeft w:val="0"/>
                                                                                      <w:marRight w:val="0"/>
                                                                                      <w:marTop w:val="0"/>
                                                                                      <w:marBottom w:val="0"/>
                                                                                      <w:divBdr>
                                                                                        <w:top w:val="none" w:sz="0" w:space="0" w:color="auto"/>
                                                                                        <w:left w:val="none" w:sz="0" w:space="0" w:color="auto"/>
                                                                                        <w:bottom w:val="none" w:sz="0" w:space="0" w:color="auto"/>
                                                                                        <w:right w:val="none" w:sz="0" w:space="0" w:color="auto"/>
                                                                                      </w:divBdr>
                                                                                    </w:div>
                                                                                    <w:div w:id="500699097">
                                                                                      <w:marLeft w:val="0"/>
                                                                                      <w:marRight w:val="0"/>
                                                                                      <w:marTop w:val="0"/>
                                                                                      <w:marBottom w:val="0"/>
                                                                                      <w:divBdr>
                                                                                        <w:top w:val="none" w:sz="0" w:space="0" w:color="auto"/>
                                                                                        <w:left w:val="none" w:sz="0" w:space="0" w:color="auto"/>
                                                                                        <w:bottom w:val="none" w:sz="0" w:space="0" w:color="auto"/>
                                                                                        <w:right w:val="none" w:sz="0" w:space="0" w:color="auto"/>
                                                                                      </w:divBdr>
                                                                                    </w:div>
                                                                                    <w:div w:id="937713124">
                                                                                      <w:marLeft w:val="0"/>
                                                                                      <w:marRight w:val="0"/>
                                                                                      <w:marTop w:val="0"/>
                                                                                      <w:marBottom w:val="0"/>
                                                                                      <w:divBdr>
                                                                                        <w:top w:val="none" w:sz="0" w:space="0" w:color="auto"/>
                                                                                        <w:left w:val="none" w:sz="0" w:space="0" w:color="auto"/>
                                                                                        <w:bottom w:val="none" w:sz="0" w:space="0" w:color="auto"/>
                                                                                        <w:right w:val="none" w:sz="0" w:space="0" w:color="auto"/>
                                                                                      </w:divBdr>
                                                                                    </w:div>
                                                                                    <w:div w:id="1171141567">
                                                                                      <w:marLeft w:val="0"/>
                                                                                      <w:marRight w:val="0"/>
                                                                                      <w:marTop w:val="0"/>
                                                                                      <w:marBottom w:val="0"/>
                                                                                      <w:divBdr>
                                                                                        <w:top w:val="none" w:sz="0" w:space="0" w:color="auto"/>
                                                                                        <w:left w:val="none" w:sz="0" w:space="0" w:color="auto"/>
                                                                                        <w:bottom w:val="none" w:sz="0" w:space="0" w:color="auto"/>
                                                                                        <w:right w:val="none" w:sz="0" w:space="0" w:color="auto"/>
                                                                                      </w:divBdr>
                                                                                    </w:div>
                                                                                    <w:div w:id="1349330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66402604">
      <w:bodyDiv w:val="1"/>
      <w:marLeft w:val="0"/>
      <w:marRight w:val="0"/>
      <w:marTop w:val="0"/>
      <w:marBottom w:val="0"/>
      <w:divBdr>
        <w:top w:val="none" w:sz="0" w:space="0" w:color="auto"/>
        <w:left w:val="none" w:sz="0" w:space="0" w:color="auto"/>
        <w:bottom w:val="none" w:sz="0" w:space="0" w:color="auto"/>
        <w:right w:val="none" w:sz="0" w:space="0" w:color="auto"/>
      </w:divBdr>
      <w:divsChild>
        <w:div w:id="406418439">
          <w:marLeft w:val="0"/>
          <w:marRight w:val="0"/>
          <w:marTop w:val="0"/>
          <w:marBottom w:val="0"/>
          <w:divBdr>
            <w:top w:val="none" w:sz="0" w:space="0" w:color="auto"/>
            <w:left w:val="none" w:sz="0" w:space="0" w:color="auto"/>
            <w:bottom w:val="none" w:sz="0" w:space="0" w:color="auto"/>
            <w:right w:val="none" w:sz="0" w:space="0" w:color="auto"/>
          </w:divBdr>
          <w:divsChild>
            <w:div w:id="1355154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549906">
      <w:bodyDiv w:val="1"/>
      <w:marLeft w:val="0"/>
      <w:marRight w:val="0"/>
      <w:marTop w:val="0"/>
      <w:marBottom w:val="0"/>
      <w:divBdr>
        <w:top w:val="none" w:sz="0" w:space="0" w:color="auto"/>
        <w:left w:val="none" w:sz="0" w:space="0" w:color="auto"/>
        <w:bottom w:val="none" w:sz="0" w:space="0" w:color="auto"/>
        <w:right w:val="none" w:sz="0" w:space="0" w:color="auto"/>
      </w:divBdr>
    </w:div>
    <w:div w:id="1922058115">
      <w:bodyDiv w:val="1"/>
      <w:marLeft w:val="0"/>
      <w:marRight w:val="0"/>
      <w:marTop w:val="0"/>
      <w:marBottom w:val="0"/>
      <w:divBdr>
        <w:top w:val="none" w:sz="0" w:space="0" w:color="auto"/>
        <w:left w:val="none" w:sz="0" w:space="0" w:color="auto"/>
        <w:bottom w:val="none" w:sz="0" w:space="0" w:color="auto"/>
        <w:right w:val="none" w:sz="0" w:space="0" w:color="auto"/>
      </w:divBdr>
    </w:div>
    <w:div w:id="1928466453">
      <w:bodyDiv w:val="1"/>
      <w:marLeft w:val="0"/>
      <w:marRight w:val="0"/>
      <w:marTop w:val="0"/>
      <w:marBottom w:val="0"/>
      <w:divBdr>
        <w:top w:val="none" w:sz="0" w:space="0" w:color="auto"/>
        <w:left w:val="none" w:sz="0" w:space="0" w:color="auto"/>
        <w:bottom w:val="none" w:sz="0" w:space="0" w:color="auto"/>
        <w:right w:val="none" w:sz="0" w:space="0" w:color="auto"/>
      </w:divBdr>
      <w:divsChild>
        <w:div w:id="414278002">
          <w:marLeft w:val="0"/>
          <w:marRight w:val="0"/>
          <w:marTop w:val="0"/>
          <w:marBottom w:val="0"/>
          <w:divBdr>
            <w:top w:val="none" w:sz="0" w:space="0" w:color="auto"/>
            <w:left w:val="none" w:sz="0" w:space="0" w:color="auto"/>
            <w:bottom w:val="none" w:sz="0" w:space="0" w:color="auto"/>
            <w:right w:val="none" w:sz="0" w:space="0" w:color="auto"/>
          </w:divBdr>
          <w:divsChild>
            <w:div w:id="142353805">
              <w:marLeft w:val="0"/>
              <w:marRight w:val="0"/>
              <w:marTop w:val="0"/>
              <w:marBottom w:val="0"/>
              <w:divBdr>
                <w:top w:val="none" w:sz="0" w:space="0" w:color="auto"/>
                <w:left w:val="none" w:sz="0" w:space="0" w:color="auto"/>
                <w:bottom w:val="none" w:sz="0" w:space="0" w:color="auto"/>
                <w:right w:val="none" w:sz="0" w:space="0" w:color="auto"/>
              </w:divBdr>
              <w:divsChild>
                <w:div w:id="22140460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0737310">
                      <w:marLeft w:val="0"/>
                      <w:marRight w:val="0"/>
                      <w:marTop w:val="0"/>
                      <w:marBottom w:val="0"/>
                      <w:divBdr>
                        <w:top w:val="none" w:sz="0" w:space="0" w:color="auto"/>
                        <w:left w:val="none" w:sz="0" w:space="0" w:color="auto"/>
                        <w:bottom w:val="none" w:sz="0" w:space="0" w:color="auto"/>
                        <w:right w:val="none" w:sz="0" w:space="0" w:color="auto"/>
                      </w:divBdr>
                      <w:divsChild>
                        <w:div w:id="842667723">
                          <w:marLeft w:val="0"/>
                          <w:marRight w:val="0"/>
                          <w:marTop w:val="0"/>
                          <w:marBottom w:val="0"/>
                          <w:divBdr>
                            <w:top w:val="none" w:sz="0" w:space="0" w:color="auto"/>
                            <w:left w:val="none" w:sz="0" w:space="0" w:color="auto"/>
                            <w:bottom w:val="none" w:sz="0" w:space="0" w:color="auto"/>
                            <w:right w:val="none" w:sz="0" w:space="0" w:color="auto"/>
                          </w:divBdr>
                          <w:divsChild>
                            <w:div w:id="1371415739">
                              <w:marLeft w:val="0"/>
                              <w:marRight w:val="0"/>
                              <w:marTop w:val="0"/>
                              <w:marBottom w:val="0"/>
                              <w:divBdr>
                                <w:top w:val="none" w:sz="0" w:space="0" w:color="auto"/>
                                <w:left w:val="none" w:sz="0" w:space="0" w:color="auto"/>
                                <w:bottom w:val="none" w:sz="0" w:space="0" w:color="auto"/>
                                <w:right w:val="none" w:sz="0" w:space="0" w:color="auto"/>
                              </w:divBdr>
                              <w:divsChild>
                                <w:div w:id="788548017">
                                  <w:marLeft w:val="0"/>
                                  <w:marRight w:val="0"/>
                                  <w:marTop w:val="0"/>
                                  <w:marBottom w:val="0"/>
                                  <w:divBdr>
                                    <w:top w:val="none" w:sz="0" w:space="0" w:color="auto"/>
                                    <w:left w:val="none" w:sz="0" w:space="0" w:color="auto"/>
                                    <w:bottom w:val="none" w:sz="0" w:space="0" w:color="auto"/>
                                    <w:right w:val="none" w:sz="0" w:space="0" w:color="auto"/>
                                  </w:divBdr>
                                </w:div>
                                <w:div w:id="1009020844">
                                  <w:marLeft w:val="0"/>
                                  <w:marRight w:val="0"/>
                                  <w:marTop w:val="0"/>
                                  <w:marBottom w:val="0"/>
                                  <w:divBdr>
                                    <w:top w:val="none" w:sz="0" w:space="0" w:color="auto"/>
                                    <w:left w:val="none" w:sz="0" w:space="0" w:color="auto"/>
                                    <w:bottom w:val="none" w:sz="0" w:space="0" w:color="auto"/>
                                    <w:right w:val="none" w:sz="0" w:space="0" w:color="auto"/>
                                  </w:divBdr>
                                </w:div>
                                <w:div w:id="1124544182">
                                  <w:marLeft w:val="0"/>
                                  <w:marRight w:val="0"/>
                                  <w:marTop w:val="0"/>
                                  <w:marBottom w:val="0"/>
                                  <w:divBdr>
                                    <w:top w:val="none" w:sz="0" w:space="0" w:color="auto"/>
                                    <w:left w:val="none" w:sz="0" w:space="0" w:color="auto"/>
                                    <w:bottom w:val="none" w:sz="0" w:space="0" w:color="auto"/>
                                    <w:right w:val="none" w:sz="0" w:space="0" w:color="auto"/>
                                  </w:divBdr>
                                </w:div>
                                <w:div w:id="194078085">
                                  <w:marLeft w:val="0"/>
                                  <w:marRight w:val="0"/>
                                  <w:marTop w:val="0"/>
                                  <w:marBottom w:val="0"/>
                                  <w:divBdr>
                                    <w:top w:val="none" w:sz="0" w:space="0" w:color="auto"/>
                                    <w:left w:val="none" w:sz="0" w:space="0" w:color="auto"/>
                                    <w:bottom w:val="none" w:sz="0" w:space="0" w:color="auto"/>
                                    <w:right w:val="none" w:sz="0" w:space="0" w:color="auto"/>
                                  </w:divBdr>
                                </w:div>
                                <w:div w:id="1391658768">
                                  <w:marLeft w:val="1440"/>
                                  <w:marRight w:val="0"/>
                                  <w:marTop w:val="0"/>
                                  <w:marBottom w:val="0"/>
                                  <w:divBdr>
                                    <w:top w:val="none" w:sz="0" w:space="0" w:color="auto"/>
                                    <w:left w:val="none" w:sz="0" w:space="0" w:color="auto"/>
                                    <w:bottom w:val="none" w:sz="0" w:space="0" w:color="auto"/>
                                    <w:right w:val="none" w:sz="0" w:space="0" w:color="auto"/>
                                  </w:divBdr>
                                </w:div>
                                <w:div w:id="225920914">
                                  <w:marLeft w:val="1440"/>
                                  <w:marRight w:val="0"/>
                                  <w:marTop w:val="0"/>
                                  <w:marBottom w:val="0"/>
                                  <w:divBdr>
                                    <w:top w:val="none" w:sz="0" w:space="0" w:color="auto"/>
                                    <w:left w:val="none" w:sz="0" w:space="0" w:color="auto"/>
                                    <w:bottom w:val="none" w:sz="0" w:space="0" w:color="auto"/>
                                    <w:right w:val="none" w:sz="0" w:space="0" w:color="auto"/>
                                  </w:divBdr>
                                </w:div>
                                <w:div w:id="1171483000">
                                  <w:marLeft w:val="14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446417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31091355">
                      <w:marLeft w:val="0"/>
                      <w:marRight w:val="0"/>
                      <w:marTop w:val="0"/>
                      <w:marBottom w:val="0"/>
                      <w:divBdr>
                        <w:top w:val="none" w:sz="0" w:space="0" w:color="auto"/>
                        <w:left w:val="none" w:sz="0" w:space="0" w:color="auto"/>
                        <w:bottom w:val="none" w:sz="0" w:space="0" w:color="auto"/>
                        <w:right w:val="none" w:sz="0" w:space="0" w:color="auto"/>
                      </w:divBdr>
                      <w:divsChild>
                        <w:div w:id="1400789931">
                          <w:marLeft w:val="0"/>
                          <w:marRight w:val="0"/>
                          <w:marTop w:val="0"/>
                          <w:marBottom w:val="0"/>
                          <w:divBdr>
                            <w:top w:val="none" w:sz="0" w:space="0" w:color="auto"/>
                            <w:left w:val="none" w:sz="0" w:space="0" w:color="auto"/>
                            <w:bottom w:val="none" w:sz="0" w:space="0" w:color="auto"/>
                            <w:right w:val="none" w:sz="0" w:space="0" w:color="auto"/>
                          </w:divBdr>
                          <w:divsChild>
                            <w:div w:id="1753115733">
                              <w:blockQuote w:val="1"/>
                              <w:marLeft w:val="600"/>
                              <w:marRight w:val="0"/>
                              <w:marTop w:val="0"/>
                              <w:marBottom w:val="0"/>
                              <w:divBdr>
                                <w:top w:val="none" w:sz="0" w:space="0" w:color="auto"/>
                                <w:left w:val="none" w:sz="0" w:space="0" w:color="auto"/>
                                <w:bottom w:val="none" w:sz="0" w:space="0" w:color="auto"/>
                                <w:right w:val="none" w:sz="0" w:space="0" w:color="auto"/>
                              </w:divBdr>
                              <w:divsChild>
                                <w:div w:id="2058433916">
                                  <w:blockQuote w:val="1"/>
                                  <w:marLeft w:val="600"/>
                                  <w:marRight w:val="0"/>
                                  <w:marTop w:val="0"/>
                                  <w:marBottom w:val="0"/>
                                  <w:divBdr>
                                    <w:top w:val="none" w:sz="0" w:space="0" w:color="auto"/>
                                    <w:left w:val="none" w:sz="0" w:space="0" w:color="auto"/>
                                    <w:bottom w:val="none" w:sz="0" w:space="0" w:color="auto"/>
                                    <w:right w:val="none" w:sz="0" w:space="0" w:color="auto"/>
                                  </w:divBdr>
                                  <w:divsChild>
                                    <w:div w:id="1089691765">
                                      <w:marLeft w:val="0"/>
                                      <w:marRight w:val="0"/>
                                      <w:marTop w:val="0"/>
                                      <w:marBottom w:val="0"/>
                                      <w:divBdr>
                                        <w:top w:val="none" w:sz="0" w:space="0" w:color="auto"/>
                                        <w:left w:val="none" w:sz="0" w:space="0" w:color="auto"/>
                                        <w:bottom w:val="none" w:sz="0" w:space="0" w:color="auto"/>
                                        <w:right w:val="none" w:sz="0" w:space="0" w:color="auto"/>
                                      </w:divBdr>
                                    </w:div>
                                  </w:divsChild>
                                </w:div>
                                <w:div w:id="259416493">
                                  <w:blockQuote w:val="1"/>
                                  <w:marLeft w:val="600"/>
                                  <w:marRight w:val="0"/>
                                  <w:marTop w:val="0"/>
                                  <w:marBottom w:val="0"/>
                                  <w:divBdr>
                                    <w:top w:val="none" w:sz="0" w:space="0" w:color="auto"/>
                                    <w:left w:val="none" w:sz="0" w:space="0" w:color="auto"/>
                                    <w:bottom w:val="none" w:sz="0" w:space="0" w:color="auto"/>
                                    <w:right w:val="none" w:sz="0" w:space="0" w:color="auto"/>
                                  </w:divBdr>
                                  <w:divsChild>
                                    <w:div w:id="1451974243">
                                      <w:marLeft w:val="0"/>
                                      <w:marRight w:val="0"/>
                                      <w:marTop w:val="0"/>
                                      <w:marBottom w:val="0"/>
                                      <w:divBdr>
                                        <w:top w:val="none" w:sz="0" w:space="0" w:color="auto"/>
                                        <w:left w:val="none" w:sz="0" w:space="0" w:color="auto"/>
                                        <w:bottom w:val="none" w:sz="0" w:space="0" w:color="auto"/>
                                        <w:right w:val="none" w:sz="0" w:space="0" w:color="auto"/>
                                      </w:divBdr>
                                      <w:divsChild>
                                        <w:div w:id="2087800760">
                                          <w:marLeft w:val="1440"/>
                                          <w:marRight w:val="0"/>
                                          <w:marTop w:val="0"/>
                                          <w:marBottom w:val="0"/>
                                          <w:divBdr>
                                            <w:top w:val="none" w:sz="0" w:space="0" w:color="auto"/>
                                            <w:left w:val="none" w:sz="0" w:space="0" w:color="auto"/>
                                            <w:bottom w:val="none" w:sz="0" w:space="0" w:color="auto"/>
                                            <w:right w:val="none" w:sz="0" w:space="0" w:color="auto"/>
                                          </w:divBdr>
                                        </w:div>
                                      </w:divsChild>
                                    </w:div>
                                  </w:divsChild>
                                </w:div>
                                <w:div w:id="939028183">
                                  <w:blockQuote w:val="1"/>
                                  <w:marLeft w:val="600"/>
                                  <w:marRight w:val="0"/>
                                  <w:marTop w:val="0"/>
                                  <w:marBottom w:val="0"/>
                                  <w:divBdr>
                                    <w:top w:val="none" w:sz="0" w:space="0" w:color="auto"/>
                                    <w:left w:val="none" w:sz="0" w:space="0" w:color="auto"/>
                                    <w:bottom w:val="none" w:sz="0" w:space="0" w:color="auto"/>
                                    <w:right w:val="none" w:sz="0" w:space="0" w:color="auto"/>
                                  </w:divBdr>
                                  <w:divsChild>
                                    <w:div w:id="1338656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0164881">
                              <w:blockQuote w:val="1"/>
                              <w:marLeft w:val="600"/>
                              <w:marRight w:val="0"/>
                              <w:marTop w:val="0"/>
                              <w:marBottom w:val="0"/>
                              <w:divBdr>
                                <w:top w:val="none" w:sz="0" w:space="0" w:color="auto"/>
                                <w:left w:val="none" w:sz="0" w:space="0" w:color="auto"/>
                                <w:bottom w:val="none" w:sz="0" w:space="0" w:color="auto"/>
                                <w:right w:val="none" w:sz="0" w:space="0" w:color="auto"/>
                              </w:divBdr>
                              <w:divsChild>
                                <w:div w:id="283969002">
                                  <w:blockQuote w:val="1"/>
                                  <w:marLeft w:val="600"/>
                                  <w:marRight w:val="0"/>
                                  <w:marTop w:val="0"/>
                                  <w:marBottom w:val="0"/>
                                  <w:divBdr>
                                    <w:top w:val="none" w:sz="0" w:space="0" w:color="auto"/>
                                    <w:left w:val="none" w:sz="0" w:space="0" w:color="auto"/>
                                    <w:bottom w:val="none" w:sz="0" w:space="0" w:color="auto"/>
                                    <w:right w:val="none" w:sz="0" w:space="0" w:color="auto"/>
                                  </w:divBdr>
                                  <w:divsChild>
                                    <w:div w:id="592520105">
                                      <w:marLeft w:val="0"/>
                                      <w:marRight w:val="0"/>
                                      <w:marTop w:val="0"/>
                                      <w:marBottom w:val="0"/>
                                      <w:divBdr>
                                        <w:top w:val="none" w:sz="0" w:space="0" w:color="auto"/>
                                        <w:left w:val="none" w:sz="0" w:space="0" w:color="auto"/>
                                        <w:bottom w:val="none" w:sz="0" w:space="0" w:color="auto"/>
                                        <w:right w:val="none" w:sz="0" w:space="0" w:color="auto"/>
                                      </w:divBdr>
                                    </w:div>
                                  </w:divsChild>
                                </w:div>
                                <w:div w:id="2029985691">
                                  <w:blockQuote w:val="1"/>
                                  <w:marLeft w:val="600"/>
                                  <w:marRight w:val="0"/>
                                  <w:marTop w:val="0"/>
                                  <w:marBottom w:val="0"/>
                                  <w:divBdr>
                                    <w:top w:val="none" w:sz="0" w:space="0" w:color="auto"/>
                                    <w:left w:val="none" w:sz="0" w:space="0" w:color="auto"/>
                                    <w:bottom w:val="none" w:sz="0" w:space="0" w:color="auto"/>
                                    <w:right w:val="none" w:sz="0" w:space="0" w:color="auto"/>
                                  </w:divBdr>
                                  <w:divsChild>
                                    <w:div w:id="1690788384">
                                      <w:marLeft w:val="0"/>
                                      <w:marRight w:val="0"/>
                                      <w:marTop w:val="0"/>
                                      <w:marBottom w:val="0"/>
                                      <w:divBdr>
                                        <w:top w:val="none" w:sz="0" w:space="0" w:color="auto"/>
                                        <w:left w:val="none" w:sz="0" w:space="0" w:color="auto"/>
                                        <w:bottom w:val="none" w:sz="0" w:space="0" w:color="auto"/>
                                        <w:right w:val="none" w:sz="0" w:space="0" w:color="auto"/>
                                      </w:divBdr>
                                    </w:div>
                                  </w:divsChild>
                                </w:div>
                                <w:div w:id="856887497">
                                  <w:blockQuote w:val="1"/>
                                  <w:marLeft w:val="600"/>
                                  <w:marRight w:val="0"/>
                                  <w:marTop w:val="0"/>
                                  <w:marBottom w:val="0"/>
                                  <w:divBdr>
                                    <w:top w:val="none" w:sz="0" w:space="0" w:color="auto"/>
                                    <w:left w:val="none" w:sz="0" w:space="0" w:color="auto"/>
                                    <w:bottom w:val="none" w:sz="0" w:space="0" w:color="auto"/>
                                    <w:right w:val="none" w:sz="0" w:space="0" w:color="auto"/>
                                  </w:divBdr>
                                  <w:divsChild>
                                    <w:div w:id="485165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154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44722684">
      <w:bodyDiv w:val="1"/>
      <w:marLeft w:val="0"/>
      <w:marRight w:val="0"/>
      <w:marTop w:val="0"/>
      <w:marBottom w:val="0"/>
      <w:divBdr>
        <w:top w:val="none" w:sz="0" w:space="0" w:color="auto"/>
        <w:left w:val="none" w:sz="0" w:space="0" w:color="auto"/>
        <w:bottom w:val="none" w:sz="0" w:space="0" w:color="auto"/>
        <w:right w:val="none" w:sz="0" w:space="0" w:color="auto"/>
      </w:divBdr>
    </w:div>
    <w:div w:id="1981376401">
      <w:bodyDiv w:val="1"/>
      <w:marLeft w:val="0"/>
      <w:marRight w:val="0"/>
      <w:marTop w:val="0"/>
      <w:marBottom w:val="0"/>
      <w:divBdr>
        <w:top w:val="none" w:sz="0" w:space="0" w:color="auto"/>
        <w:left w:val="none" w:sz="0" w:space="0" w:color="auto"/>
        <w:bottom w:val="none" w:sz="0" w:space="0" w:color="auto"/>
        <w:right w:val="none" w:sz="0" w:space="0" w:color="auto"/>
      </w:divBdr>
    </w:div>
    <w:div w:id="1999577687">
      <w:bodyDiv w:val="1"/>
      <w:marLeft w:val="0"/>
      <w:marRight w:val="0"/>
      <w:marTop w:val="0"/>
      <w:marBottom w:val="0"/>
      <w:divBdr>
        <w:top w:val="none" w:sz="0" w:space="0" w:color="auto"/>
        <w:left w:val="none" w:sz="0" w:space="0" w:color="auto"/>
        <w:bottom w:val="none" w:sz="0" w:space="0" w:color="auto"/>
        <w:right w:val="none" w:sz="0" w:space="0" w:color="auto"/>
      </w:divBdr>
    </w:div>
    <w:div w:id="2081437864">
      <w:bodyDiv w:val="1"/>
      <w:marLeft w:val="0"/>
      <w:marRight w:val="0"/>
      <w:marTop w:val="0"/>
      <w:marBottom w:val="0"/>
      <w:divBdr>
        <w:top w:val="none" w:sz="0" w:space="0" w:color="auto"/>
        <w:left w:val="none" w:sz="0" w:space="0" w:color="auto"/>
        <w:bottom w:val="none" w:sz="0" w:space="0" w:color="auto"/>
        <w:right w:val="none" w:sz="0" w:space="0" w:color="auto"/>
      </w:divBdr>
    </w:div>
    <w:div w:id="2139451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268C93-B501-7247-AE9E-EAB86C4DB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152</TotalTime>
  <Pages>4</Pages>
  <Words>1218</Words>
  <Characters>6943</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8145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Steven Chen</cp:lastModifiedBy>
  <cp:revision>49</cp:revision>
  <cp:lastPrinted>2019-02-25T14:05:00Z</cp:lastPrinted>
  <dcterms:created xsi:type="dcterms:W3CDTF">2022-11-07T08:04:00Z</dcterms:created>
  <dcterms:modified xsi:type="dcterms:W3CDTF">2023-02-17T23:24:00Z</dcterms:modified>
  <cp:category/>
</cp:coreProperties>
</file>